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67F8" w14:textId="7288933B" w:rsidR="009C0ACF" w:rsidRPr="00F43E80" w:rsidRDefault="00F43E80" w:rsidP="00F43E80">
      <w:pPr>
        <w:pStyle w:val="NormalWeb"/>
        <w:tabs>
          <w:tab w:val="left" w:pos="284"/>
        </w:tabs>
        <w:spacing w:before="0" w:beforeAutospacing="0" w:after="0" w:afterAutospacing="0"/>
        <w:ind w:right="33"/>
        <w:jc w:val="center"/>
        <w:rPr>
          <w:sz w:val="28"/>
          <w:szCs w:val="28"/>
        </w:rPr>
      </w:pPr>
      <w:r w:rsidRPr="00F43E80">
        <w:rPr>
          <w:sz w:val="28"/>
          <w:szCs w:val="28"/>
        </w:rPr>
        <w:t>THE EVOLVING CONCEPTUALISATION OF MEANINGFUL ENGAGEMENT IN EVICTION PROCEEDINGS: A CRITICAL ANALYSIS</w:t>
      </w:r>
    </w:p>
    <w:p w14:paraId="24FB712B" w14:textId="77777777" w:rsidR="00F43E80" w:rsidRPr="00F43E80" w:rsidRDefault="00F43E80" w:rsidP="00F43E80">
      <w:pPr>
        <w:pStyle w:val="NormalWeb"/>
        <w:tabs>
          <w:tab w:val="left" w:pos="284"/>
        </w:tabs>
        <w:spacing w:before="0" w:beforeAutospacing="0" w:after="0" w:afterAutospacing="0"/>
        <w:ind w:right="33"/>
        <w:jc w:val="center"/>
        <w:rPr>
          <w:b/>
          <w:bCs/>
          <w:sz w:val="20"/>
          <w:szCs w:val="20"/>
        </w:rPr>
      </w:pPr>
    </w:p>
    <w:p w14:paraId="50137C92" w14:textId="7C8524EF" w:rsidR="009C0ACF" w:rsidRPr="00F43E80" w:rsidRDefault="009C0ACF" w:rsidP="00F43E80">
      <w:pPr>
        <w:tabs>
          <w:tab w:val="left" w:pos="284"/>
        </w:tabs>
        <w:ind w:right="33"/>
        <w:jc w:val="center"/>
        <w:rPr>
          <w:rFonts w:ascii="Times New Roman" w:hAnsi="Times New Roman" w:cs="Times New Roman"/>
          <w:b/>
          <w:bCs/>
        </w:rPr>
      </w:pPr>
      <w:r w:rsidRPr="00F43E80">
        <w:rPr>
          <w:rFonts w:ascii="Times New Roman" w:hAnsi="Times New Roman" w:cs="Times New Roman"/>
          <w:b/>
          <w:bCs/>
        </w:rPr>
        <w:t>ZAMANI SAUL</w:t>
      </w:r>
      <w:r w:rsidR="00F43E80">
        <w:rPr>
          <w:rFonts w:ascii="Times New Roman" w:hAnsi="Times New Roman" w:cs="Times New Roman"/>
          <w:b/>
          <w:bCs/>
        </w:rPr>
        <w:t>*</w:t>
      </w:r>
    </w:p>
    <w:p w14:paraId="472FEEA7" w14:textId="77777777" w:rsidR="00F43E80" w:rsidRPr="00F43E80" w:rsidRDefault="00F43E80" w:rsidP="00F43E80">
      <w:pPr>
        <w:tabs>
          <w:tab w:val="left" w:pos="284"/>
        </w:tabs>
        <w:ind w:right="33"/>
        <w:jc w:val="center"/>
        <w:rPr>
          <w:rFonts w:ascii="Times New Roman" w:hAnsi="Times New Roman" w:cs="Times New Roman"/>
          <w:sz w:val="20"/>
          <w:szCs w:val="20"/>
        </w:rPr>
      </w:pPr>
    </w:p>
    <w:p w14:paraId="169EC0F6" w14:textId="1AE6D140" w:rsidR="009C0ACF" w:rsidRPr="00F43E80" w:rsidRDefault="00F43E80" w:rsidP="00F43E80">
      <w:pPr>
        <w:tabs>
          <w:tab w:val="left" w:pos="284"/>
        </w:tabs>
        <w:ind w:right="33"/>
        <w:jc w:val="center"/>
        <w:rPr>
          <w:rFonts w:ascii="Times New Roman" w:hAnsi="Times New Roman" w:cs="Times New Roman"/>
          <w:i/>
          <w:iCs/>
          <w:sz w:val="20"/>
          <w:szCs w:val="20"/>
        </w:rPr>
      </w:pPr>
      <w:r>
        <w:rPr>
          <w:rFonts w:ascii="Times New Roman" w:hAnsi="Times New Roman" w:cs="Times New Roman"/>
          <w:i/>
          <w:iCs/>
          <w:sz w:val="20"/>
          <w:szCs w:val="20"/>
          <w:vertAlign w:val="superscript"/>
        </w:rPr>
        <w:t>*</w:t>
      </w:r>
      <w:r w:rsidR="007C04EE" w:rsidRPr="00F43E80">
        <w:rPr>
          <w:rFonts w:ascii="Times New Roman" w:hAnsi="Times New Roman" w:cs="Times New Roman"/>
          <w:i/>
          <w:iCs/>
          <w:sz w:val="20"/>
          <w:szCs w:val="20"/>
        </w:rPr>
        <w:t xml:space="preserve">LLD (UWC), </w:t>
      </w:r>
      <w:r w:rsidR="009C0ACF" w:rsidRPr="00F43E80">
        <w:rPr>
          <w:rFonts w:ascii="Times New Roman" w:hAnsi="Times New Roman" w:cs="Times New Roman"/>
          <w:i/>
          <w:iCs/>
          <w:sz w:val="20"/>
          <w:szCs w:val="20"/>
        </w:rPr>
        <w:t>PhD in Human Rights candidate, University of the Free State, Bloemfontein</w:t>
      </w:r>
    </w:p>
    <w:p w14:paraId="635D61A0" w14:textId="45EC821C" w:rsidR="009C0ACF" w:rsidRPr="00F43E80" w:rsidRDefault="009C0ACF" w:rsidP="00F43E80">
      <w:pPr>
        <w:tabs>
          <w:tab w:val="left" w:pos="284"/>
        </w:tabs>
        <w:ind w:right="33"/>
        <w:jc w:val="center"/>
        <w:rPr>
          <w:rFonts w:ascii="Times New Roman" w:hAnsi="Times New Roman" w:cs="Times New Roman"/>
          <w:sz w:val="20"/>
          <w:szCs w:val="20"/>
        </w:rPr>
      </w:pPr>
      <w:r w:rsidRPr="00F43E80">
        <w:rPr>
          <w:rFonts w:ascii="Times New Roman" w:hAnsi="Times New Roman" w:cs="Times New Roman"/>
          <w:sz w:val="20"/>
          <w:szCs w:val="20"/>
        </w:rPr>
        <w:t xml:space="preserve">ORCID: </w:t>
      </w:r>
      <w:r w:rsidR="00DB40D8" w:rsidRPr="00F43E80">
        <w:rPr>
          <w:rFonts w:ascii="Times New Roman" w:hAnsi="Times New Roman" w:cs="Times New Roman"/>
          <w:sz w:val="20"/>
          <w:szCs w:val="20"/>
        </w:rPr>
        <w:t>0009-0004-9140-1850</w:t>
      </w:r>
    </w:p>
    <w:p w14:paraId="3423AF26" w14:textId="77777777" w:rsidR="009C0ACF" w:rsidRPr="00F43E80" w:rsidRDefault="009C0ACF" w:rsidP="00F43E80">
      <w:pPr>
        <w:pBdr>
          <w:bottom w:val="single" w:sz="4" w:space="1" w:color="auto"/>
        </w:pBdr>
        <w:tabs>
          <w:tab w:val="left" w:pos="284"/>
        </w:tabs>
        <w:ind w:right="33"/>
        <w:jc w:val="center"/>
        <w:rPr>
          <w:rFonts w:ascii="Times New Roman" w:hAnsi="Times New Roman" w:cs="Times New Roman"/>
          <w:b/>
          <w:bCs/>
          <w:sz w:val="20"/>
          <w:szCs w:val="20"/>
        </w:rPr>
      </w:pPr>
    </w:p>
    <w:p w14:paraId="7AF98DE9" w14:textId="77777777" w:rsidR="00F43E80" w:rsidRDefault="00F43E80" w:rsidP="00F43E80">
      <w:pPr>
        <w:tabs>
          <w:tab w:val="left" w:pos="284"/>
        </w:tabs>
        <w:ind w:right="33"/>
        <w:jc w:val="both"/>
        <w:rPr>
          <w:rFonts w:ascii="Times New Roman" w:hAnsi="Times New Roman" w:cs="Times New Roman"/>
          <w:b/>
          <w:bCs/>
          <w:sz w:val="20"/>
          <w:szCs w:val="20"/>
        </w:rPr>
      </w:pPr>
    </w:p>
    <w:p w14:paraId="1077232D" w14:textId="7ECC3426"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 xml:space="preserve">Abstract </w:t>
      </w:r>
    </w:p>
    <w:p w14:paraId="458D25FA" w14:textId="3C1540C3" w:rsidR="009C0ACF" w:rsidRPr="00F43E80" w:rsidRDefault="009C0ACF" w:rsidP="00F43E80">
      <w:pPr>
        <w:pStyle w:val="NormalWeb"/>
        <w:tabs>
          <w:tab w:val="left" w:pos="284"/>
        </w:tabs>
        <w:spacing w:before="0" w:beforeAutospacing="0" w:after="0" w:afterAutospacing="0"/>
        <w:ind w:right="33"/>
        <w:jc w:val="both"/>
        <w:rPr>
          <w:i/>
          <w:iCs/>
          <w:sz w:val="20"/>
          <w:szCs w:val="20"/>
        </w:rPr>
      </w:pPr>
      <w:r w:rsidRPr="00F43E80">
        <w:rPr>
          <w:i/>
          <w:iCs/>
          <w:sz w:val="20"/>
          <w:szCs w:val="20"/>
          <w:shd w:val="clear" w:color="auto" w:fill="FFFFFF"/>
        </w:rPr>
        <w:t xml:space="preserve">The Constitutional Court of South Africa has unequivocally affirmed its commitment to meaningful engagement during eviction proceedings, as evident in the case of </w:t>
      </w:r>
      <w:r w:rsidRPr="00F43E80">
        <w:rPr>
          <w:sz w:val="20"/>
          <w:szCs w:val="20"/>
          <w:shd w:val="clear" w:color="auto" w:fill="FFFFFF"/>
        </w:rPr>
        <w:t>Charnell Commando and Others v City of Cape Town and Another 2025 (3) SA 1 (CC)</w:t>
      </w:r>
      <w:r w:rsidRPr="00F43E80">
        <w:rPr>
          <w:i/>
          <w:iCs/>
          <w:sz w:val="20"/>
          <w:szCs w:val="20"/>
          <w:shd w:val="clear" w:color="auto" w:fill="FFFFFF"/>
        </w:rPr>
        <w:t xml:space="preserve">. The jurisprudential doctrine of meaningful engagement was first introduced in </w:t>
      </w:r>
      <w:r w:rsidRPr="00F43E80">
        <w:rPr>
          <w:sz w:val="20"/>
          <w:szCs w:val="20"/>
          <w:shd w:val="clear" w:color="auto" w:fill="FFFFFF"/>
        </w:rPr>
        <w:t>Occupiers of 51 Olivia Road, Berea Township and 197 Main Street, Johannesburg v City of Johannesburg 2008 (3) SA 208 (CC)</w:t>
      </w:r>
      <w:r w:rsidRPr="00F43E80">
        <w:rPr>
          <w:i/>
          <w:iCs/>
          <w:sz w:val="20"/>
          <w:szCs w:val="20"/>
          <w:shd w:val="clear" w:color="auto" w:fill="FFFFFF"/>
        </w:rPr>
        <w:t>. Meaningful engagement during evictions encompasses both procedural and substantive safeguards for unlawful occupiers, aiming to protect the unlawful occupiers against arbitrary evictions</w:t>
      </w:r>
      <w:r w:rsidR="000568FD" w:rsidRPr="00F43E80">
        <w:rPr>
          <w:i/>
          <w:iCs/>
          <w:sz w:val="20"/>
          <w:szCs w:val="20"/>
          <w:shd w:val="clear" w:color="auto" w:fill="FFFFFF"/>
        </w:rPr>
        <w:t xml:space="preserve"> and</w:t>
      </w:r>
      <w:r w:rsidRPr="00F43E80">
        <w:rPr>
          <w:i/>
          <w:iCs/>
          <w:sz w:val="20"/>
          <w:szCs w:val="20"/>
          <w:shd w:val="clear" w:color="auto" w:fill="FFFFFF"/>
        </w:rPr>
        <w:t xml:space="preserve"> </w:t>
      </w:r>
      <w:r w:rsidR="006B2BAF" w:rsidRPr="00F43E80">
        <w:rPr>
          <w:i/>
          <w:iCs/>
          <w:sz w:val="20"/>
          <w:szCs w:val="20"/>
          <w:shd w:val="clear" w:color="auto" w:fill="FFFFFF"/>
        </w:rPr>
        <w:t xml:space="preserve">to </w:t>
      </w:r>
      <w:r w:rsidRPr="00F43E80">
        <w:rPr>
          <w:i/>
          <w:iCs/>
          <w:sz w:val="20"/>
          <w:szCs w:val="20"/>
          <w:shd w:val="clear" w:color="auto" w:fill="FFFFFF"/>
        </w:rPr>
        <w:t>uphold their dignit</w:t>
      </w:r>
      <w:r w:rsidR="000568FD" w:rsidRPr="00F43E80">
        <w:rPr>
          <w:i/>
          <w:iCs/>
          <w:sz w:val="20"/>
          <w:szCs w:val="20"/>
          <w:shd w:val="clear" w:color="auto" w:fill="FFFFFF"/>
        </w:rPr>
        <w:t>y</w:t>
      </w:r>
      <w:r w:rsidRPr="00F43E80">
        <w:rPr>
          <w:i/>
          <w:iCs/>
          <w:sz w:val="20"/>
          <w:szCs w:val="20"/>
          <w:shd w:val="clear" w:color="auto" w:fill="FFFFFF"/>
        </w:rPr>
        <w:t xml:space="preserve"> to prevent a repeat of inhumane apartheid-style evictions. However, the application of this doctrine has been marred by conceptual ambiguities and inconsistencies, potentially compromising the interests of vulnerable unlawful occupiers. Through an analytic doctrinal approach, this article examines relevant eviction judgments since the </w:t>
      </w:r>
      <w:r w:rsidRPr="00F43E80">
        <w:rPr>
          <w:sz w:val="20"/>
          <w:szCs w:val="20"/>
          <w:shd w:val="clear" w:color="auto" w:fill="FFFFFF"/>
        </w:rPr>
        <w:t xml:space="preserve">Occupiers of 51 Olivia Road </w:t>
      </w:r>
      <w:r w:rsidRPr="00F43E80">
        <w:rPr>
          <w:i/>
          <w:iCs/>
          <w:sz w:val="20"/>
          <w:szCs w:val="20"/>
          <w:shd w:val="clear" w:color="auto" w:fill="FFFFFF"/>
        </w:rPr>
        <w:t>case</w:t>
      </w:r>
      <w:r w:rsidRPr="00F43E80">
        <w:rPr>
          <w:sz w:val="20"/>
          <w:szCs w:val="20"/>
          <w:shd w:val="clear" w:color="auto" w:fill="FFFFFF"/>
        </w:rPr>
        <w:t xml:space="preserve"> </w:t>
      </w:r>
      <w:r w:rsidRPr="00F43E80">
        <w:rPr>
          <w:i/>
          <w:iCs/>
          <w:sz w:val="20"/>
          <w:szCs w:val="20"/>
          <w:shd w:val="clear" w:color="auto" w:fill="FFFFFF"/>
        </w:rPr>
        <w:t>in 2008</w:t>
      </w:r>
      <w:r w:rsidRPr="00F43E80">
        <w:rPr>
          <w:sz w:val="20"/>
          <w:szCs w:val="20"/>
          <w:shd w:val="clear" w:color="auto" w:fill="FFFFFF"/>
        </w:rPr>
        <w:t xml:space="preserve"> </w:t>
      </w:r>
      <w:r w:rsidRPr="00F43E80">
        <w:rPr>
          <w:i/>
          <w:iCs/>
          <w:sz w:val="20"/>
          <w:szCs w:val="20"/>
          <w:shd w:val="clear" w:color="auto" w:fill="FFFFFF"/>
        </w:rPr>
        <w:t>and organises them into three conceptual approaches, which are transformative conceptualisation, regressive conceptualisation, and revived transformative conceptualisation. This article argues that an adjudicative emphasis on substantive safeguards of meaningful engagement is transformative and necessary for the protection of unlawful occupiers against arbitrary evictions reminiscent of apartheid-style evictions.</w:t>
      </w:r>
      <w:r w:rsidR="006505F4" w:rsidRPr="00F43E80">
        <w:rPr>
          <w:i/>
          <w:iCs/>
          <w:sz w:val="20"/>
          <w:szCs w:val="20"/>
          <w:shd w:val="clear" w:color="auto" w:fill="FFFFFF"/>
        </w:rPr>
        <w:t xml:space="preserve"> </w:t>
      </w:r>
      <w:r w:rsidR="006505F4" w:rsidRPr="00F43E80">
        <w:rPr>
          <w:i/>
          <w:iCs/>
          <w:sz w:val="20"/>
          <w:szCs w:val="20"/>
        </w:rPr>
        <w:t xml:space="preserve">This article is necessary as the right against arbitrary evictions is the most litigated socio-economic right in South Africa and therefore, critical evaluation of the eviction jurisprudence is essential as we approach a significant milestone of the 30 years of the democratic constitution. </w:t>
      </w:r>
    </w:p>
    <w:p w14:paraId="52F6BD3D" w14:textId="77777777" w:rsidR="009C0ACF" w:rsidRPr="00F43E80" w:rsidRDefault="009C0ACF" w:rsidP="00F43E80">
      <w:pPr>
        <w:tabs>
          <w:tab w:val="left" w:pos="284"/>
        </w:tabs>
        <w:ind w:right="33"/>
        <w:jc w:val="both"/>
        <w:rPr>
          <w:rFonts w:ascii="Times New Roman" w:hAnsi="Times New Roman" w:cs="Times New Roman"/>
          <w:i/>
          <w:iCs/>
          <w:sz w:val="20"/>
          <w:szCs w:val="20"/>
        </w:rPr>
      </w:pPr>
    </w:p>
    <w:p w14:paraId="5EC6A9B2" w14:textId="31B82DC8"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b/>
          <w:bCs/>
          <w:sz w:val="20"/>
          <w:szCs w:val="20"/>
        </w:rPr>
        <w:t>Keywords:</w:t>
      </w:r>
      <w:r w:rsidRPr="00F43E80">
        <w:rPr>
          <w:rFonts w:ascii="Times New Roman" w:hAnsi="Times New Roman" w:cs="Times New Roman"/>
          <w:sz w:val="20"/>
          <w:szCs w:val="20"/>
        </w:rPr>
        <w:t xml:space="preserve"> socio-economic rights, evictions, meaningful engagement, </w:t>
      </w:r>
      <w:r w:rsidR="007C04EE" w:rsidRPr="00F43E80">
        <w:rPr>
          <w:rFonts w:ascii="Times New Roman" w:hAnsi="Times New Roman" w:cs="Times New Roman"/>
          <w:sz w:val="20"/>
          <w:szCs w:val="20"/>
        </w:rPr>
        <w:t>inconsistent conceptualisation</w:t>
      </w:r>
      <w:r w:rsidRPr="00F43E80">
        <w:rPr>
          <w:rFonts w:ascii="Times New Roman" w:hAnsi="Times New Roman" w:cs="Times New Roman"/>
          <w:sz w:val="20"/>
          <w:szCs w:val="20"/>
        </w:rPr>
        <w:t xml:space="preserve">, transformative conceptualisation, regressive conceptualisation, revived transformative conceptualisation </w:t>
      </w:r>
    </w:p>
    <w:p w14:paraId="0668F805" w14:textId="77777777" w:rsidR="009C0ACF" w:rsidRPr="00F43E80" w:rsidRDefault="009C0ACF" w:rsidP="00F43E80">
      <w:pPr>
        <w:tabs>
          <w:tab w:val="left" w:pos="284"/>
        </w:tabs>
        <w:ind w:right="33"/>
        <w:jc w:val="both"/>
        <w:rPr>
          <w:rFonts w:ascii="Times New Roman" w:hAnsi="Times New Roman" w:cs="Times New Roman"/>
          <w:b/>
          <w:bCs/>
          <w:sz w:val="20"/>
          <w:szCs w:val="20"/>
        </w:rPr>
      </w:pPr>
    </w:p>
    <w:p w14:paraId="6A3F9B87" w14:textId="77777777"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1</w:t>
      </w:r>
      <w:r w:rsidRPr="00F43E80">
        <w:rPr>
          <w:rFonts w:ascii="Times New Roman" w:hAnsi="Times New Roman" w:cs="Times New Roman"/>
          <w:b/>
          <w:bCs/>
          <w:sz w:val="20"/>
          <w:szCs w:val="20"/>
        </w:rPr>
        <w:tab/>
        <w:t>INTRODUCTION</w:t>
      </w:r>
    </w:p>
    <w:p w14:paraId="66CF7828" w14:textId="3A3C340F" w:rsidR="009C0ACF" w:rsidRPr="00F43E80" w:rsidRDefault="009C0ACF" w:rsidP="00F43E80">
      <w:pPr>
        <w:pStyle w:val="NormalWeb"/>
        <w:tabs>
          <w:tab w:val="left" w:pos="284"/>
        </w:tabs>
        <w:spacing w:before="0" w:beforeAutospacing="0" w:after="0" w:afterAutospacing="0"/>
        <w:ind w:right="33"/>
        <w:jc w:val="both"/>
        <w:rPr>
          <w:sz w:val="20"/>
          <w:szCs w:val="20"/>
        </w:rPr>
      </w:pPr>
      <w:r w:rsidRPr="00F43E80">
        <w:rPr>
          <w:sz w:val="20"/>
          <w:szCs w:val="20"/>
        </w:rPr>
        <w:t>The Constitutional Court's recent landmark judgment in </w:t>
      </w:r>
      <w:r w:rsidRPr="00F43E80">
        <w:rPr>
          <w:i/>
          <w:iCs/>
          <w:sz w:val="20"/>
          <w:szCs w:val="20"/>
        </w:rPr>
        <w:t>Charnell Commando</w:t>
      </w:r>
      <w:r w:rsidRPr="00F43E80">
        <w:rPr>
          <w:rStyle w:val="FootnoteReference"/>
          <w:sz w:val="20"/>
          <w:szCs w:val="20"/>
        </w:rPr>
        <w:footnoteReference w:id="1"/>
      </w:r>
      <w:r w:rsidRPr="00F43E80">
        <w:rPr>
          <w:i/>
          <w:iCs/>
          <w:sz w:val="20"/>
          <w:szCs w:val="20"/>
        </w:rPr>
        <w:t xml:space="preserve"> </w:t>
      </w:r>
      <w:r w:rsidRPr="00F43E80">
        <w:rPr>
          <w:sz w:val="20"/>
          <w:szCs w:val="20"/>
        </w:rPr>
        <w:t>has reaffirmed the jurisprudential doctrine of meaningful engagement in eviction proceedings. This doctrine, first introduced in O</w:t>
      </w:r>
      <w:r w:rsidRPr="00F43E80">
        <w:rPr>
          <w:i/>
          <w:iCs/>
          <w:sz w:val="20"/>
          <w:szCs w:val="20"/>
        </w:rPr>
        <w:t>ccupiers of 51 Olivia</w:t>
      </w:r>
      <w:r w:rsidRPr="00F43E80">
        <w:rPr>
          <w:sz w:val="20"/>
          <w:szCs w:val="20"/>
        </w:rPr>
        <w:t>,</w:t>
      </w:r>
      <w:r w:rsidRPr="00F43E80">
        <w:rPr>
          <w:rStyle w:val="FootnoteReference"/>
          <w:sz w:val="20"/>
          <w:szCs w:val="20"/>
        </w:rPr>
        <w:footnoteReference w:id="2"/>
      </w:r>
      <w:r w:rsidRPr="00F43E80">
        <w:rPr>
          <w:sz w:val="20"/>
          <w:szCs w:val="20"/>
        </w:rPr>
        <w:t xml:space="preserve"> aims to provide procedural and substantive safeguards </w:t>
      </w:r>
      <w:r w:rsidR="00785D3F" w:rsidRPr="00F43E80">
        <w:rPr>
          <w:sz w:val="20"/>
          <w:szCs w:val="20"/>
        </w:rPr>
        <w:t xml:space="preserve">for </w:t>
      </w:r>
      <w:r w:rsidRPr="00F43E80">
        <w:rPr>
          <w:sz w:val="20"/>
          <w:szCs w:val="20"/>
        </w:rPr>
        <w:t>just and equitable evictions</w:t>
      </w:r>
      <w:r w:rsidR="008D116D" w:rsidRPr="00F43E80">
        <w:rPr>
          <w:sz w:val="20"/>
          <w:szCs w:val="20"/>
        </w:rPr>
        <w:t>.</w:t>
      </w:r>
      <w:r w:rsidRPr="00F43E80">
        <w:rPr>
          <w:sz w:val="20"/>
          <w:szCs w:val="20"/>
        </w:rPr>
        <w:t xml:space="preserve"> </w:t>
      </w:r>
      <w:r w:rsidR="00785D3F" w:rsidRPr="00F43E80">
        <w:rPr>
          <w:sz w:val="20"/>
          <w:szCs w:val="20"/>
        </w:rPr>
        <w:t>Meaningful engagement seeks to</w:t>
      </w:r>
      <w:r w:rsidRPr="00F43E80">
        <w:rPr>
          <w:sz w:val="20"/>
          <w:szCs w:val="20"/>
        </w:rPr>
        <w:t xml:space="preserve"> ensure </w:t>
      </w:r>
      <w:r w:rsidR="00785D3F" w:rsidRPr="00F43E80">
        <w:rPr>
          <w:sz w:val="20"/>
          <w:szCs w:val="20"/>
        </w:rPr>
        <w:t xml:space="preserve">genuine and </w:t>
      </w:r>
      <w:r w:rsidRPr="00F43E80">
        <w:rPr>
          <w:sz w:val="20"/>
          <w:szCs w:val="20"/>
        </w:rPr>
        <w:t xml:space="preserve">effective participation </w:t>
      </w:r>
      <w:r w:rsidR="00785D3F" w:rsidRPr="00F43E80">
        <w:rPr>
          <w:sz w:val="20"/>
          <w:szCs w:val="20"/>
        </w:rPr>
        <w:t xml:space="preserve">of the unlawful occupiers </w:t>
      </w:r>
      <w:r w:rsidRPr="00F43E80">
        <w:rPr>
          <w:sz w:val="20"/>
          <w:szCs w:val="20"/>
        </w:rPr>
        <w:t>in the consideration of the relevant circumstances</w:t>
      </w:r>
      <w:r w:rsidR="00785D3F" w:rsidRPr="00F43E80">
        <w:rPr>
          <w:sz w:val="20"/>
          <w:szCs w:val="20"/>
        </w:rPr>
        <w:t xml:space="preserve"> for their eviction</w:t>
      </w:r>
      <w:r w:rsidRPr="00F43E80">
        <w:rPr>
          <w:sz w:val="20"/>
          <w:szCs w:val="20"/>
        </w:rPr>
        <w:t>. However, the problem that this article critiques is the differentiated understanding of meaningful engagement by the Constitutional Court that results in conceptual ambiguity and inconsistency in the application of the jurisprudential doctrine.</w:t>
      </w:r>
    </w:p>
    <w:p w14:paraId="2E6325EE" w14:textId="0EC51826" w:rsidR="009C0ACF" w:rsidRPr="00F43E80" w:rsidRDefault="009C0ACF" w:rsidP="00F43E80">
      <w:pPr>
        <w:pStyle w:val="NormalWeb"/>
        <w:tabs>
          <w:tab w:val="left" w:pos="284"/>
        </w:tabs>
        <w:spacing w:before="0" w:beforeAutospacing="0" w:after="0" w:afterAutospacing="0"/>
        <w:ind w:right="33"/>
        <w:jc w:val="both"/>
        <w:rPr>
          <w:sz w:val="20"/>
          <w:szCs w:val="20"/>
        </w:rPr>
      </w:pPr>
      <w:r w:rsidRPr="00F43E80">
        <w:rPr>
          <w:sz w:val="20"/>
          <w:szCs w:val="20"/>
        </w:rPr>
        <w:t xml:space="preserve">The normative framework of evictions in South Africa is governed by the Constitution and relevant legislation that prioritises the protection of human rights and dignity. Existing literature on meaningful engagement highlights its importance in ensuring that evictions are carried out in a manner that respects the rights of unlawful occupiers. However, the lack of a uniform understanding of meaningful engagement has led to inconsistent application and interpretation by the courts. To unravel this trend, this article conducts a systematic and comprehensive analysis of eviction judgments, commencing with </w:t>
      </w:r>
      <w:r w:rsidRPr="00F43E80">
        <w:rPr>
          <w:i/>
          <w:iCs/>
          <w:sz w:val="20"/>
          <w:szCs w:val="20"/>
        </w:rPr>
        <w:t>Occupiers of 51 Olivia</w:t>
      </w:r>
      <w:r w:rsidRPr="00F43E80">
        <w:rPr>
          <w:sz w:val="20"/>
          <w:szCs w:val="20"/>
        </w:rPr>
        <w:t xml:space="preserve"> (2008) and culminating in </w:t>
      </w:r>
      <w:r w:rsidRPr="00F43E80">
        <w:rPr>
          <w:i/>
          <w:iCs/>
          <w:sz w:val="20"/>
          <w:szCs w:val="20"/>
        </w:rPr>
        <w:t xml:space="preserve">Charnell Commando </w:t>
      </w:r>
      <w:r w:rsidRPr="00F43E80">
        <w:rPr>
          <w:sz w:val="20"/>
          <w:szCs w:val="20"/>
        </w:rPr>
        <w:t>(2025). The analysis employs an analytical doctrinal approach to critically engage with relevant eviction judgments to examine the inconsistent conceptualisation of meaningful engagement. </w:t>
      </w:r>
      <w:r w:rsidR="00785D3F" w:rsidRPr="00F43E80">
        <w:rPr>
          <w:sz w:val="20"/>
          <w:szCs w:val="20"/>
        </w:rPr>
        <w:t>The right against arbitrary eviction</w:t>
      </w:r>
      <w:r w:rsidR="006505F4" w:rsidRPr="00F43E80">
        <w:rPr>
          <w:sz w:val="20"/>
          <w:szCs w:val="20"/>
        </w:rPr>
        <w:t xml:space="preserve">s </w:t>
      </w:r>
      <w:r w:rsidR="00785D3F" w:rsidRPr="00F43E80">
        <w:rPr>
          <w:sz w:val="20"/>
          <w:szCs w:val="20"/>
        </w:rPr>
        <w:t xml:space="preserve">is the most litigated socio-economic right </w:t>
      </w:r>
      <w:r w:rsidR="006505F4" w:rsidRPr="00F43E80">
        <w:rPr>
          <w:sz w:val="20"/>
          <w:szCs w:val="20"/>
        </w:rPr>
        <w:t xml:space="preserve">in South Africa </w:t>
      </w:r>
      <w:r w:rsidR="00785D3F" w:rsidRPr="00F43E80">
        <w:rPr>
          <w:sz w:val="20"/>
          <w:szCs w:val="20"/>
        </w:rPr>
        <w:t xml:space="preserve">and </w:t>
      </w:r>
      <w:r w:rsidR="006505F4" w:rsidRPr="00F43E80">
        <w:rPr>
          <w:sz w:val="20"/>
          <w:szCs w:val="20"/>
        </w:rPr>
        <w:t xml:space="preserve">therefore, </w:t>
      </w:r>
      <w:r w:rsidR="00785D3F" w:rsidRPr="00F43E80">
        <w:rPr>
          <w:sz w:val="20"/>
          <w:szCs w:val="20"/>
        </w:rPr>
        <w:t xml:space="preserve">critical evaluation of the eviction jurisprudence </w:t>
      </w:r>
      <w:r w:rsidR="006505F4" w:rsidRPr="00F43E80">
        <w:rPr>
          <w:sz w:val="20"/>
          <w:szCs w:val="20"/>
        </w:rPr>
        <w:t xml:space="preserve">is essential </w:t>
      </w:r>
      <w:r w:rsidR="00785D3F" w:rsidRPr="00F43E80">
        <w:rPr>
          <w:sz w:val="20"/>
          <w:szCs w:val="20"/>
        </w:rPr>
        <w:t xml:space="preserve">as we approach a significant milestone of the 30 years of the democratic constitution. </w:t>
      </w:r>
    </w:p>
    <w:p w14:paraId="2CB2D8E7" w14:textId="77777777" w:rsidR="009C0ACF" w:rsidRPr="00F43E80" w:rsidRDefault="009C0ACF" w:rsidP="00F43E80">
      <w:pPr>
        <w:pStyle w:val="NormalWeb"/>
        <w:tabs>
          <w:tab w:val="left" w:pos="284"/>
        </w:tabs>
        <w:spacing w:before="0" w:beforeAutospacing="0" w:after="0" w:afterAutospacing="0"/>
        <w:ind w:right="33"/>
        <w:jc w:val="both"/>
        <w:rPr>
          <w:sz w:val="20"/>
          <w:szCs w:val="20"/>
        </w:rPr>
      </w:pPr>
      <w:r w:rsidRPr="00F43E80">
        <w:rPr>
          <w:sz w:val="20"/>
          <w:szCs w:val="20"/>
        </w:rPr>
        <w:t xml:space="preserve">This article organises the eviction judgments into three distinct conceptual approaches. First is the transformative conceptualisation, which is the approach that prioritises the substantive safeguards of meaningful engagement. This approach offers better protections of human dignity and promotes social justice, reflecting a progressive bottom-up decision-making process during meaningful engagement. Second is the regressive conceptualisation, which is the approach that adopts a more perfunctory and limited understanding of meaningful engagement. It places greater emphasis on procedural compliance of meaningful engagement, potentially undermining the transformative ideals of the Constitution. Lastly is the revived transformative conceptualisation, which is the approach that represents a reinvigorated commitment to the transformative ideals of the Constitution, reaffirming the importance of substantive safeguards for meaningful engagement such as equitable participation and bottom-up </w:t>
      </w:r>
      <w:proofErr w:type="gramStart"/>
      <w:r w:rsidRPr="00F43E80">
        <w:rPr>
          <w:sz w:val="20"/>
          <w:szCs w:val="20"/>
        </w:rPr>
        <w:t>decision making</w:t>
      </w:r>
      <w:proofErr w:type="gramEnd"/>
      <w:r w:rsidRPr="00F43E80">
        <w:rPr>
          <w:sz w:val="20"/>
          <w:szCs w:val="20"/>
        </w:rPr>
        <w:t xml:space="preserve"> process.</w:t>
      </w:r>
    </w:p>
    <w:p w14:paraId="6437EDA8" w14:textId="77777777" w:rsidR="009C0ACF" w:rsidRPr="00F43E80" w:rsidRDefault="009C0ACF" w:rsidP="00F43E80">
      <w:pPr>
        <w:pStyle w:val="NormalWeb"/>
        <w:tabs>
          <w:tab w:val="left" w:pos="284"/>
        </w:tabs>
        <w:spacing w:before="0" w:beforeAutospacing="0" w:after="0" w:afterAutospacing="0"/>
        <w:ind w:right="33"/>
        <w:jc w:val="both"/>
        <w:rPr>
          <w:sz w:val="20"/>
          <w:szCs w:val="20"/>
        </w:rPr>
      </w:pPr>
    </w:p>
    <w:p w14:paraId="50A53AC5" w14:textId="77777777" w:rsidR="009C0ACF" w:rsidRPr="00F43E80" w:rsidRDefault="009C0ACF" w:rsidP="00F43E80">
      <w:pPr>
        <w:pStyle w:val="NormalWeb"/>
        <w:tabs>
          <w:tab w:val="left" w:pos="284"/>
        </w:tabs>
        <w:spacing w:before="0" w:beforeAutospacing="0" w:after="0" w:afterAutospacing="0"/>
        <w:ind w:right="33"/>
        <w:jc w:val="both"/>
        <w:rPr>
          <w:sz w:val="20"/>
          <w:szCs w:val="20"/>
        </w:rPr>
      </w:pPr>
      <w:r w:rsidRPr="00F43E80">
        <w:rPr>
          <w:sz w:val="20"/>
          <w:szCs w:val="20"/>
        </w:rPr>
        <w:lastRenderedPageBreak/>
        <w:t>The inconsistent conceptualisation of meaningful engagement has significant implications for vulnerable unlawful occupiers and the transformative vision of the Constitution. Understanding these different approaches is crucial for assessing the Court's commitment to the Constitution's ideals. This article aims to provide insight into the evolving conceptualisation of meaningful engagement, highlighting the complexities and nuances in the Constitutional Court's approach over time.</w:t>
      </w:r>
    </w:p>
    <w:p w14:paraId="6DCC7141" w14:textId="77777777" w:rsidR="009C0ACF" w:rsidRPr="00F43E80" w:rsidRDefault="009C0ACF" w:rsidP="00F43E80">
      <w:pPr>
        <w:tabs>
          <w:tab w:val="left" w:pos="284"/>
        </w:tabs>
        <w:ind w:right="33"/>
        <w:jc w:val="both"/>
        <w:rPr>
          <w:rFonts w:ascii="Times New Roman" w:hAnsi="Times New Roman" w:cs="Times New Roman"/>
          <w:b/>
          <w:bCs/>
          <w:sz w:val="20"/>
          <w:szCs w:val="20"/>
        </w:rPr>
      </w:pPr>
    </w:p>
    <w:p w14:paraId="5721B4B6" w14:textId="390DCA4E"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2</w:t>
      </w:r>
      <w:r w:rsidRPr="00F43E80">
        <w:rPr>
          <w:rFonts w:ascii="Times New Roman" w:hAnsi="Times New Roman" w:cs="Times New Roman"/>
          <w:b/>
          <w:bCs/>
          <w:sz w:val="20"/>
          <w:szCs w:val="20"/>
        </w:rPr>
        <w:tab/>
      </w:r>
      <w:r w:rsidR="008D116D" w:rsidRPr="00F43E80">
        <w:rPr>
          <w:rFonts w:ascii="Times New Roman" w:hAnsi="Times New Roman" w:cs="Times New Roman"/>
          <w:b/>
          <w:bCs/>
          <w:sz w:val="20"/>
          <w:szCs w:val="20"/>
        </w:rPr>
        <w:t>POST-APARTHEID EVICTION CONTEXT IN SA</w:t>
      </w:r>
    </w:p>
    <w:p w14:paraId="431E8BC0"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The 1994 democratic dispensation brought hope to end colonial/apartheid-style evictions. This, amongst others, marked the new post-apartheid normative context for evictions in South Africa, which is based on the Constitution,</w:t>
      </w:r>
      <w:r w:rsidRPr="00F43E80">
        <w:rPr>
          <w:rStyle w:val="FootnoteReference"/>
          <w:rFonts w:ascii="Times New Roman" w:hAnsi="Times New Roman" w:cs="Times New Roman"/>
          <w:sz w:val="20"/>
          <w:szCs w:val="20"/>
        </w:rPr>
        <w:footnoteReference w:id="3"/>
      </w:r>
      <w:r w:rsidRPr="00F43E80">
        <w:rPr>
          <w:rFonts w:ascii="Times New Roman" w:hAnsi="Times New Roman" w:cs="Times New Roman"/>
          <w:sz w:val="20"/>
          <w:szCs w:val="20"/>
        </w:rPr>
        <w:t xml:space="preserve"> international law, and the Prevention of Illegal Eviction from and Unlawful Occupation of Land Act No. 19 of 1998 (PIE Act). Section 26 of the Constitution provides the following: </w:t>
      </w:r>
    </w:p>
    <w:p w14:paraId="05E4123B" w14:textId="77777777" w:rsidR="009C0ACF" w:rsidRPr="00F43E80" w:rsidRDefault="009C0ACF" w:rsidP="00F43E80">
      <w:pPr>
        <w:pStyle w:val="ListParagraph"/>
        <w:numPr>
          <w:ilvl w:val="0"/>
          <w:numId w:val="47"/>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Everyone has the right to have access to adequate housing.</w:t>
      </w:r>
    </w:p>
    <w:p w14:paraId="199C0DDE" w14:textId="77777777" w:rsidR="009C0ACF" w:rsidRPr="00F43E80" w:rsidRDefault="009C0ACF" w:rsidP="00F43E80">
      <w:pPr>
        <w:pStyle w:val="ListParagraph"/>
        <w:numPr>
          <w:ilvl w:val="0"/>
          <w:numId w:val="47"/>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The state must take reasonable legislative and other measures, within its available resources, to achieve the progressive realisation of this right.</w:t>
      </w:r>
    </w:p>
    <w:p w14:paraId="12CCCC7A" w14:textId="77777777" w:rsidR="009C0ACF" w:rsidRPr="00F43E80" w:rsidRDefault="009C0ACF" w:rsidP="00F43E80">
      <w:pPr>
        <w:pStyle w:val="ListParagraph"/>
        <w:numPr>
          <w:ilvl w:val="0"/>
          <w:numId w:val="47"/>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No one may be evicted from their home, or have their home demolished, without an order of court made after considering all the relevant circumstances. No legislation may permit arbitrary evictions.</w:t>
      </w:r>
    </w:p>
    <w:p w14:paraId="55CD1B1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Furthermore, Section 39(1) of the Constitution prescribes that, in the interpretation of these rights, the courts:</w:t>
      </w:r>
    </w:p>
    <w:p w14:paraId="38953917" w14:textId="77777777" w:rsidR="009C0ACF" w:rsidRPr="00F43E80" w:rsidRDefault="009C0ACF" w:rsidP="00F43E80">
      <w:pPr>
        <w:pStyle w:val="ListParagraph"/>
        <w:numPr>
          <w:ilvl w:val="0"/>
          <w:numId w:val="1"/>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must promote the values that underlie an open and democratic society based on human dignity, equality and freedom;</w:t>
      </w:r>
    </w:p>
    <w:p w14:paraId="4FBC0B3C" w14:textId="77777777" w:rsidR="009C0ACF" w:rsidRPr="00F43E80" w:rsidRDefault="009C0ACF" w:rsidP="00F43E80">
      <w:pPr>
        <w:pStyle w:val="ListParagraph"/>
        <w:numPr>
          <w:ilvl w:val="0"/>
          <w:numId w:val="1"/>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 xml:space="preserve">must consider international law; and </w:t>
      </w:r>
    </w:p>
    <w:p w14:paraId="547CD47B" w14:textId="1454A831" w:rsidR="009C0ACF" w:rsidRPr="00F43E80" w:rsidRDefault="009C0ACF" w:rsidP="00F43E80">
      <w:pPr>
        <w:pStyle w:val="ListParagraph"/>
        <w:numPr>
          <w:ilvl w:val="0"/>
          <w:numId w:val="1"/>
        </w:numPr>
        <w:tabs>
          <w:tab w:val="left" w:pos="284"/>
        </w:tabs>
        <w:ind w:left="0" w:right="33" w:firstLine="0"/>
        <w:jc w:val="both"/>
        <w:rPr>
          <w:rFonts w:ascii="Times New Roman" w:hAnsi="Times New Roman" w:cs="Times New Roman"/>
          <w:sz w:val="20"/>
          <w:szCs w:val="20"/>
        </w:rPr>
      </w:pPr>
      <w:r w:rsidRPr="00F43E80">
        <w:rPr>
          <w:rFonts w:ascii="Times New Roman" w:hAnsi="Times New Roman" w:cs="Times New Roman"/>
          <w:sz w:val="20"/>
          <w:szCs w:val="20"/>
        </w:rPr>
        <w:t>may consider foreign law.</w:t>
      </w:r>
    </w:p>
    <w:p w14:paraId="44C001D6" w14:textId="168F0A5E"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Section 39(1) is also supported by Section 233 of the Constitution, which requires courts to interpret legislation as far as possible to be consistent with international law. There is a rich tapestry of international law on evictions. Article 11(1) of the International Covenant on Social and Economic Rights (ICSECR) enshrines the right of everyone to adequate housing and enjoins State Parties to take appropriate steps to ensure the realisation of the right. To assist with the development of the jurisprudence on the ICSECR, the Committee on Social and Economic Rights (CESCR) issues General Comments. Though not legally binding, they have considerable weight of persuasion in the interpretation of socio-economic rights. Regarding the right to adequate housing</w:t>
      </w:r>
      <w:r w:rsidR="00F47EA8" w:rsidRPr="00F43E80">
        <w:rPr>
          <w:rFonts w:ascii="Times New Roman" w:hAnsi="Times New Roman" w:cs="Times New Roman"/>
          <w:sz w:val="20"/>
          <w:szCs w:val="20"/>
        </w:rPr>
        <w:t xml:space="preserve">, the Committee has issued </w:t>
      </w:r>
      <w:r w:rsidRPr="00F43E80">
        <w:rPr>
          <w:rFonts w:ascii="Times New Roman" w:hAnsi="Times New Roman" w:cs="Times New Roman"/>
          <w:sz w:val="20"/>
          <w:szCs w:val="20"/>
        </w:rPr>
        <w:t>General Comment No. 4 and General Comment No. 7.</w:t>
      </w:r>
      <w:r w:rsidRPr="00F43E80">
        <w:rPr>
          <w:rStyle w:val="FootnoteReference"/>
          <w:rFonts w:ascii="Times New Roman" w:hAnsi="Times New Roman" w:cs="Times New Roman"/>
          <w:sz w:val="20"/>
          <w:szCs w:val="20"/>
        </w:rPr>
        <w:footnoteReference w:id="4"/>
      </w:r>
    </w:p>
    <w:p w14:paraId="1D4AAB08" w14:textId="616C65EC"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General Comment No. 4 is primarily focused on the right to adequate housing and highlights that “instances of forced evictions are </w:t>
      </w:r>
      <w:r w:rsidRPr="00F43E80">
        <w:rPr>
          <w:rFonts w:ascii="Times New Roman" w:hAnsi="Times New Roman" w:cs="Times New Roman"/>
          <w:i/>
          <w:sz w:val="20"/>
          <w:szCs w:val="20"/>
        </w:rPr>
        <w:t xml:space="preserve">prima facie </w:t>
      </w:r>
      <w:r w:rsidRPr="00F43E80">
        <w:rPr>
          <w:rFonts w:ascii="Times New Roman" w:hAnsi="Times New Roman" w:cs="Times New Roman"/>
          <w:sz w:val="20"/>
          <w:szCs w:val="20"/>
        </w:rPr>
        <w:t>incompatible with the requirements of ICESCR and can only be justified in the most exceptional circumstances”.</w:t>
      </w:r>
      <w:r w:rsidRPr="00F43E80">
        <w:rPr>
          <w:rStyle w:val="FootnoteReference"/>
          <w:rFonts w:ascii="Times New Roman" w:hAnsi="Times New Roman" w:cs="Times New Roman"/>
          <w:sz w:val="20"/>
          <w:szCs w:val="20"/>
        </w:rPr>
        <w:footnoteReference w:id="5"/>
      </w:r>
      <w:r w:rsidRPr="00F43E80">
        <w:rPr>
          <w:rFonts w:ascii="Times New Roman" w:hAnsi="Times New Roman" w:cs="Times New Roman"/>
          <w:sz w:val="20"/>
          <w:szCs w:val="20"/>
        </w:rPr>
        <w:t xml:space="preserve"> General Comment No. 7 primarily focuses on forced evictions, going further than General Comment No. 4 by detailing what governments, landlords, and institutions must do to prevent forced evictions. It contains detailed safeguards pertaining to evictions and prominently highlights the need for the involvement of the unlawful occupiers. This need is also emphasised by the United Nations Council on Human Rights (UNCHR), which monitors and publicly reports on human rights issues and violations. Its resolution (UNCHR Resolution 1993/77, 10 March) requires that evictions must be based on “mutually satisfactory negotiations with those affected and be consistent with their wishes, rights and needs”.</w:t>
      </w:r>
      <w:r w:rsidRPr="00F43E80">
        <w:rPr>
          <w:rStyle w:val="FootnoteReference"/>
          <w:rFonts w:ascii="Times New Roman" w:hAnsi="Times New Roman" w:cs="Times New Roman"/>
          <w:sz w:val="20"/>
          <w:szCs w:val="20"/>
        </w:rPr>
        <w:footnoteReference w:id="6"/>
      </w:r>
      <w:r w:rsidRPr="00F43E80">
        <w:rPr>
          <w:rFonts w:ascii="Times New Roman" w:hAnsi="Times New Roman" w:cs="Times New Roman"/>
          <w:sz w:val="20"/>
          <w:szCs w:val="20"/>
        </w:rPr>
        <w:t xml:space="preserve"> </w:t>
      </w:r>
    </w:p>
    <w:p w14:paraId="54900F92" w14:textId="7229B81C"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In the fulfilment of its legislative obligation to prevent arbitrary and forced evictions, Parliament passed the PIE Act. This Act prohibits unlawful eviction and provides procedures for eviction.</w:t>
      </w:r>
      <w:r w:rsidR="004A2A69" w:rsidRPr="00F43E80">
        <w:rPr>
          <w:rStyle w:val="FootnoteReference"/>
          <w:rFonts w:ascii="Times New Roman" w:hAnsi="Times New Roman" w:cs="Times New Roman"/>
          <w:sz w:val="20"/>
          <w:szCs w:val="20"/>
        </w:rPr>
        <w:footnoteReference w:id="7"/>
      </w:r>
      <w:r w:rsidRPr="00F43E80">
        <w:rPr>
          <w:rFonts w:ascii="Times New Roman" w:hAnsi="Times New Roman" w:cs="Times New Roman"/>
          <w:sz w:val="20"/>
          <w:szCs w:val="20"/>
        </w:rPr>
        <w:t xml:space="preserve"> It recognises the right of landowners to apply to a court for an eviction order in appropriate circumstances. Most importantly, the PIE Act requires courts to consider all the relevant circumstances before granting an eviction order, ensuring the decision is “just and equitable”.</w:t>
      </w:r>
      <w:r w:rsidRPr="00F43E80">
        <w:rPr>
          <w:rStyle w:val="FootnoteReference"/>
          <w:rFonts w:ascii="Times New Roman" w:hAnsi="Times New Roman" w:cs="Times New Roman"/>
          <w:sz w:val="20"/>
          <w:szCs w:val="20"/>
        </w:rPr>
        <w:footnoteReference w:id="8"/>
      </w:r>
      <w:r w:rsidRPr="00F43E80">
        <w:rPr>
          <w:rFonts w:ascii="Times New Roman" w:hAnsi="Times New Roman" w:cs="Times New Roman"/>
          <w:sz w:val="20"/>
          <w:szCs w:val="20"/>
        </w:rPr>
        <w:t xml:space="preserve"> </w:t>
      </w:r>
    </w:p>
    <w:p w14:paraId="126861F4"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From the above, it is apparent that there are four key imperatives that underpin the normative context on eviction: first, that evictions can only happen by order of the court; secondly, all the relevant circumstances must be taken into consideration before an eviction order is granted; thirdly, that the nature of evictions must promote human dignity, equality and freedom; and lastly, that evictions must be just and equitable. These key imperatives are meant to guarantee a fundamental break with the past colonial/apartheid-style evictions. For this reason, at the dawn of democracy in 1994, a need existed for innovative adjudicative strategies by courts to protect vulnerable groups against arbitrary apartheid-style evictions. </w:t>
      </w:r>
    </w:p>
    <w:p w14:paraId="49828217" w14:textId="77777777" w:rsidR="009C0ACF" w:rsidRPr="00F43E80" w:rsidRDefault="009C0ACF" w:rsidP="00F43E80">
      <w:pPr>
        <w:tabs>
          <w:tab w:val="left" w:pos="284"/>
        </w:tabs>
        <w:ind w:right="33"/>
        <w:jc w:val="both"/>
        <w:rPr>
          <w:rFonts w:ascii="Times New Roman" w:hAnsi="Times New Roman" w:cs="Times New Roman"/>
          <w:sz w:val="20"/>
          <w:szCs w:val="20"/>
        </w:rPr>
      </w:pPr>
    </w:p>
    <w:p w14:paraId="2EC58BE4"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lastRenderedPageBreak/>
        <w:t xml:space="preserve">Responding to these imperatives in </w:t>
      </w:r>
      <w:r w:rsidRPr="00F43E80">
        <w:rPr>
          <w:rFonts w:ascii="Times New Roman" w:hAnsi="Times New Roman" w:cs="Times New Roman"/>
          <w:i/>
          <w:iCs/>
          <w:sz w:val="20"/>
          <w:szCs w:val="20"/>
        </w:rPr>
        <w:t xml:space="preserve">Occupiers of 51 Olivia, </w:t>
      </w:r>
      <w:r w:rsidRPr="00F43E80">
        <w:rPr>
          <w:rFonts w:ascii="Times New Roman" w:hAnsi="Times New Roman" w:cs="Times New Roman"/>
          <w:sz w:val="20"/>
          <w:szCs w:val="20"/>
        </w:rPr>
        <w:t>Yacoob J held that there must be a “reasonable effort to engage meaningfully” to uphold the dignity of the unlawful occupiers in consideration of all the relevant circumstances.</w:t>
      </w:r>
      <w:r w:rsidRPr="00F43E80">
        <w:rPr>
          <w:rStyle w:val="FootnoteReference"/>
          <w:rFonts w:ascii="Times New Roman" w:hAnsi="Times New Roman" w:cs="Times New Roman"/>
          <w:sz w:val="20"/>
          <w:szCs w:val="20"/>
        </w:rPr>
        <w:footnoteReference w:id="9"/>
      </w:r>
      <w:r w:rsidRPr="00F43E80">
        <w:rPr>
          <w:rFonts w:ascii="Times New Roman" w:hAnsi="Times New Roman" w:cs="Times New Roman"/>
          <w:sz w:val="20"/>
          <w:szCs w:val="20"/>
        </w:rPr>
        <w:t xml:space="preserve"> Since the adoption of meaningful engagement as a standard of scrutiny in adjudicating eviction cases, there has been differentiated understanding by the courts of what meaningful engagement entails. This resulted in conceptual ambiguity that disadvantaged the vulnerable unlawful occupiers. </w:t>
      </w:r>
    </w:p>
    <w:p w14:paraId="6B947401" w14:textId="77777777" w:rsidR="009C0ACF" w:rsidRPr="00F43E80" w:rsidRDefault="009C0ACF" w:rsidP="00F43E80">
      <w:pPr>
        <w:tabs>
          <w:tab w:val="left" w:pos="284"/>
        </w:tabs>
        <w:ind w:right="33"/>
        <w:jc w:val="both"/>
        <w:rPr>
          <w:rFonts w:ascii="Times New Roman" w:hAnsi="Times New Roman" w:cs="Times New Roman"/>
          <w:sz w:val="20"/>
          <w:szCs w:val="20"/>
        </w:rPr>
      </w:pPr>
    </w:p>
    <w:p w14:paraId="393343D3" w14:textId="0E7F563A" w:rsidR="009C0ACF" w:rsidRPr="00F43E80" w:rsidRDefault="006505F4"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As mentioned above, the</w:t>
      </w:r>
      <w:r w:rsidR="009C0ACF" w:rsidRPr="00F43E80">
        <w:rPr>
          <w:rFonts w:ascii="Times New Roman" w:hAnsi="Times New Roman" w:cs="Times New Roman"/>
          <w:sz w:val="20"/>
          <w:szCs w:val="20"/>
        </w:rPr>
        <w:t xml:space="preserve"> right against arbitrary evictions is one of the most litigated socio-economic rights in South Africa. This does not come as a surprise as laws that dealt with displacements, ejections, and evictions of black people were the most legislated between 1910 and 1980.</w:t>
      </w:r>
      <w:r w:rsidR="00F61BD8" w:rsidRPr="00F43E80">
        <w:rPr>
          <w:rStyle w:val="FootnoteReference"/>
          <w:rFonts w:ascii="Times New Roman" w:hAnsi="Times New Roman" w:cs="Times New Roman"/>
          <w:sz w:val="20"/>
          <w:szCs w:val="20"/>
        </w:rPr>
        <w:footnoteReference w:id="10"/>
      </w:r>
      <w:r w:rsidR="009C0ACF" w:rsidRPr="00F43E80">
        <w:rPr>
          <w:rFonts w:ascii="Times New Roman" w:hAnsi="Times New Roman" w:cs="Times New Roman"/>
          <w:sz w:val="20"/>
          <w:szCs w:val="20"/>
        </w:rPr>
        <w:t xml:space="preserve"> The </w:t>
      </w:r>
      <w:bookmarkStart w:id="0" w:name="_Hlk207260355"/>
      <w:r w:rsidR="009C0ACF" w:rsidRPr="00F43E80">
        <w:rPr>
          <w:rFonts w:ascii="Times New Roman" w:hAnsi="Times New Roman" w:cs="Times New Roman"/>
          <w:sz w:val="20"/>
          <w:szCs w:val="20"/>
        </w:rPr>
        <w:t xml:space="preserve">Black Land Act 35 of 1913 </w:t>
      </w:r>
      <w:bookmarkEnd w:id="0"/>
      <w:r w:rsidR="009C0ACF" w:rsidRPr="00F43E80">
        <w:rPr>
          <w:rFonts w:ascii="Times New Roman" w:hAnsi="Times New Roman" w:cs="Times New Roman"/>
          <w:sz w:val="20"/>
          <w:szCs w:val="20"/>
        </w:rPr>
        <w:t xml:space="preserve">disallowed black people from owning land in urban areas. This limited housing options for the black majority in urban areas, resulting in black people resorting to the erection of rudimentary informal structures on land owned by white people or local authorities. The owners of land invoked common law </w:t>
      </w:r>
      <w:r w:rsidR="009C0ACF" w:rsidRPr="00F43E80">
        <w:rPr>
          <w:rFonts w:ascii="Times New Roman" w:hAnsi="Times New Roman" w:cs="Times New Roman"/>
          <w:i/>
          <w:iCs/>
          <w:sz w:val="20"/>
          <w:szCs w:val="20"/>
        </w:rPr>
        <w:t xml:space="preserve">rei </w:t>
      </w:r>
      <w:proofErr w:type="spellStart"/>
      <w:r w:rsidR="009C0ACF" w:rsidRPr="00F43E80">
        <w:rPr>
          <w:rFonts w:ascii="Times New Roman" w:hAnsi="Times New Roman" w:cs="Times New Roman"/>
          <w:i/>
          <w:iCs/>
          <w:sz w:val="20"/>
          <w:szCs w:val="20"/>
        </w:rPr>
        <w:t>vindicatio</w:t>
      </w:r>
      <w:proofErr w:type="spellEnd"/>
      <w:r w:rsidR="009C0ACF" w:rsidRPr="00F43E80">
        <w:rPr>
          <w:rFonts w:ascii="Times New Roman" w:hAnsi="Times New Roman" w:cs="Times New Roman"/>
          <w:sz w:val="20"/>
          <w:szCs w:val="20"/>
        </w:rPr>
        <w:t xml:space="preserve"> to remove the informal structures that were erected on their land without their permission. The common law </w:t>
      </w:r>
      <w:r w:rsidR="009C0ACF" w:rsidRPr="00F43E80">
        <w:rPr>
          <w:rFonts w:ascii="Times New Roman" w:hAnsi="Times New Roman" w:cs="Times New Roman"/>
          <w:i/>
          <w:sz w:val="20"/>
          <w:szCs w:val="20"/>
        </w:rPr>
        <w:t xml:space="preserve">rei </w:t>
      </w:r>
      <w:proofErr w:type="spellStart"/>
      <w:r w:rsidR="009C0ACF" w:rsidRPr="00F43E80">
        <w:rPr>
          <w:rFonts w:ascii="Times New Roman" w:hAnsi="Times New Roman" w:cs="Times New Roman"/>
          <w:i/>
          <w:sz w:val="20"/>
          <w:szCs w:val="20"/>
        </w:rPr>
        <w:t>vindicatio</w:t>
      </w:r>
      <w:proofErr w:type="spellEnd"/>
      <w:r w:rsidR="009C0ACF" w:rsidRPr="00F43E80">
        <w:rPr>
          <w:rFonts w:ascii="Times New Roman" w:hAnsi="Times New Roman" w:cs="Times New Roman"/>
          <w:i/>
          <w:sz w:val="20"/>
          <w:szCs w:val="20"/>
        </w:rPr>
        <w:t xml:space="preserve"> </w:t>
      </w:r>
      <w:r w:rsidR="009C0ACF" w:rsidRPr="00F43E80">
        <w:rPr>
          <w:rFonts w:ascii="Times New Roman" w:hAnsi="Times New Roman" w:cs="Times New Roman"/>
          <w:sz w:val="20"/>
          <w:szCs w:val="20"/>
        </w:rPr>
        <w:t xml:space="preserve">was strengthened by a litany of legislation, such as the </w:t>
      </w:r>
      <w:bookmarkStart w:id="1" w:name="_Hlk207260373"/>
      <w:r w:rsidR="009C0ACF" w:rsidRPr="00F43E80">
        <w:rPr>
          <w:rFonts w:ascii="Times New Roman" w:hAnsi="Times New Roman" w:cs="Times New Roman"/>
          <w:sz w:val="20"/>
          <w:szCs w:val="20"/>
        </w:rPr>
        <w:t>Slums Act 53 of 1934</w:t>
      </w:r>
      <w:bookmarkEnd w:id="1"/>
      <w:r w:rsidR="009C0ACF" w:rsidRPr="00F43E80">
        <w:rPr>
          <w:rFonts w:ascii="Times New Roman" w:hAnsi="Times New Roman" w:cs="Times New Roman"/>
          <w:sz w:val="20"/>
          <w:szCs w:val="20"/>
        </w:rPr>
        <w:t>,</w:t>
      </w:r>
      <w:r w:rsidR="009C0ACF" w:rsidRPr="00F43E80">
        <w:rPr>
          <w:rStyle w:val="FootnoteReference"/>
          <w:rFonts w:ascii="Times New Roman" w:hAnsi="Times New Roman" w:cs="Times New Roman"/>
          <w:sz w:val="20"/>
          <w:szCs w:val="20"/>
        </w:rPr>
        <w:footnoteReference w:id="11"/>
      </w:r>
      <w:r w:rsidR="009C0ACF" w:rsidRPr="00F43E80">
        <w:rPr>
          <w:rFonts w:ascii="Times New Roman" w:hAnsi="Times New Roman" w:cs="Times New Roman"/>
          <w:sz w:val="20"/>
          <w:szCs w:val="20"/>
        </w:rPr>
        <w:t xml:space="preserve"> the </w:t>
      </w:r>
      <w:bookmarkStart w:id="2" w:name="_Hlk207260380"/>
      <w:r w:rsidR="009C0ACF" w:rsidRPr="00F43E80">
        <w:rPr>
          <w:rFonts w:ascii="Times New Roman" w:hAnsi="Times New Roman" w:cs="Times New Roman"/>
          <w:sz w:val="20"/>
          <w:szCs w:val="20"/>
        </w:rPr>
        <w:t>Trespass Act 6 of 1959</w:t>
      </w:r>
      <w:bookmarkEnd w:id="2"/>
      <w:r w:rsidR="009C0ACF" w:rsidRPr="00F43E80">
        <w:rPr>
          <w:rFonts w:ascii="Times New Roman" w:hAnsi="Times New Roman" w:cs="Times New Roman"/>
          <w:sz w:val="20"/>
          <w:szCs w:val="20"/>
        </w:rPr>
        <w:t>,</w:t>
      </w:r>
      <w:r w:rsidR="009C0ACF" w:rsidRPr="00F43E80">
        <w:rPr>
          <w:rStyle w:val="FootnoteReference"/>
          <w:rFonts w:ascii="Times New Roman" w:hAnsi="Times New Roman" w:cs="Times New Roman"/>
          <w:sz w:val="20"/>
          <w:szCs w:val="20"/>
        </w:rPr>
        <w:footnoteReference w:id="12"/>
      </w:r>
      <w:r w:rsidR="009C0ACF" w:rsidRPr="00F43E80">
        <w:rPr>
          <w:rFonts w:ascii="Times New Roman" w:hAnsi="Times New Roman" w:cs="Times New Roman"/>
          <w:sz w:val="20"/>
          <w:szCs w:val="20"/>
        </w:rPr>
        <w:t xml:space="preserve"> the </w:t>
      </w:r>
      <w:bookmarkStart w:id="3" w:name="_Hlk207260386"/>
      <w:r w:rsidR="009C0ACF" w:rsidRPr="00F43E80">
        <w:rPr>
          <w:rFonts w:ascii="Times New Roman" w:hAnsi="Times New Roman" w:cs="Times New Roman"/>
          <w:sz w:val="20"/>
          <w:szCs w:val="20"/>
        </w:rPr>
        <w:t>Physical Planning Act 88 of 1967</w:t>
      </w:r>
      <w:bookmarkEnd w:id="3"/>
      <w:r w:rsidR="009C0ACF" w:rsidRPr="00F43E80">
        <w:rPr>
          <w:rFonts w:ascii="Times New Roman" w:hAnsi="Times New Roman" w:cs="Times New Roman"/>
          <w:sz w:val="20"/>
          <w:szCs w:val="20"/>
        </w:rPr>
        <w:t>,</w:t>
      </w:r>
      <w:r w:rsidR="009C0ACF" w:rsidRPr="00F43E80">
        <w:rPr>
          <w:rStyle w:val="FootnoteReference"/>
          <w:rFonts w:ascii="Times New Roman" w:hAnsi="Times New Roman" w:cs="Times New Roman"/>
          <w:sz w:val="20"/>
          <w:szCs w:val="20"/>
        </w:rPr>
        <w:footnoteReference w:id="13"/>
      </w:r>
      <w:r w:rsidR="009C0ACF" w:rsidRPr="00F43E80">
        <w:rPr>
          <w:rFonts w:ascii="Times New Roman" w:hAnsi="Times New Roman" w:cs="Times New Roman"/>
          <w:sz w:val="20"/>
          <w:szCs w:val="20"/>
        </w:rPr>
        <w:t xml:space="preserve"> the </w:t>
      </w:r>
      <w:bookmarkStart w:id="4" w:name="_Hlk207260392"/>
      <w:r w:rsidR="009C0ACF" w:rsidRPr="00F43E80">
        <w:rPr>
          <w:rFonts w:ascii="Times New Roman" w:hAnsi="Times New Roman" w:cs="Times New Roman"/>
          <w:sz w:val="20"/>
          <w:szCs w:val="20"/>
        </w:rPr>
        <w:t>Health Act 63 of 1977</w:t>
      </w:r>
      <w:bookmarkEnd w:id="4"/>
      <w:r w:rsidR="009C0ACF" w:rsidRPr="00F43E80">
        <w:rPr>
          <w:rFonts w:ascii="Times New Roman" w:hAnsi="Times New Roman" w:cs="Times New Roman"/>
          <w:sz w:val="20"/>
          <w:szCs w:val="20"/>
        </w:rPr>
        <w:t>,</w:t>
      </w:r>
      <w:r w:rsidR="009C0ACF" w:rsidRPr="00F43E80">
        <w:rPr>
          <w:rStyle w:val="FootnoteReference"/>
          <w:rFonts w:ascii="Times New Roman" w:hAnsi="Times New Roman" w:cs="Times New Roman"/>
          <w:sz w:val="20"/>
          <w:szCs w:val="20"/>
        </w:rPr>
        <w:footnoteReference w:id="14"/>
      </w:r>
      <w:r w:rsidR="009C0ACF" w:rsidRPr="00F43E80">
        <w:rPr>
          <w:rFonts w:ascii="Times New Roman" w:hAnsi="Times New Roman" w:cs="Times New Roman"/>
          <w:sz w:val="20"/>
          <w:szCs w:val="20"/>
        </w:rPr>
        <w:t xml:space="preserve"> and the </w:t>
      </w:r>
      <w:bookmarkStart w:id="5" w:name="_Hlk207260402"/>
      <w:r w:rsidR="009C0ACF" w:rsidRPr="00F43E80">
        <w:rPr>
          <w:rFonts w:ascii="Times New Roman" w:hAnsi="Times New Roman" w:cs="Times New Roman"/>
          <w:sz w:val="20"/>
          <w:szCs w:val="20"/>
        </w:rPr>
        <w:t xml:space="preserve">Prevention of Illegal Squatting Act 104 of 1951 </w:t>
      </w:r>
      <w:bookmarkEnd w:id="5"/>
      <w:r w:rsidR="009C0ACF" w:rsidRPr="00F43E80">
        <w:rPr>
          <w:rFonts w:ascii="Times New Roman" w:hAnsi="Times New Roman" w:cs="Times New Roman"/>
          <w:sz w:val="20"/>
          <w:szCs w:val="20"/>
        </w:rPr>
        <w:t>(the PISA).</w:t>
      </w:r>
      <w:r w:rsidR="009C0ACF" w:rsidRPr="00F43E80">
        <w:rPr>
          <w:rStyle w:val="FootnoteReference"/>
          <w:rFonts w:ascii="Times New Roman" w:hAnsi="Times New Roman" w:cs="Times New Roman"/>
          <w:sz w:val="20"/>
          <w:szCs w:val="20"/>
        </w:rPr>
        <w:footnoteReference w:id="15"/>
      </w:r>
      <w:r w:rsidR="009C0ACF" w:rsidRPr="00F43E80">
        <w:rPr>
          <w:rFonts w:ascii="Times New Roman" w:hAnsi="Times New Roman" w:cs="Times New Roman"/>
          <w:sz w:val="20"/>
          <w:szCs w:val="20"/>
        </w:rPr>
        <w:t xml:space="preserve"> The sum total of all these laws, including the Group Areas legislation, was a racially segregated spatial settlement in South Africa where the black majority was pushed to stay on the underdeveloped margins of urban cities. </w:t>
      </w:r>
    </w:p>
    <w:p w14:paraId="7EBDBA0F"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656BE08" w14:textId="339D8DC7" w:rsidR="0062655A"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post-1994 normative context sought to change the history of atrocious and arbitrary evictions. Hence, in </w:t>
      </w:r>
      <w:r w:rsidRPr="00F43E80">
        <w:rPr>
          <w:rFonts w:ascii="Times New Roman" w:hAnsi="Times New Roman" w:cs="Times New Roman"/>
          <w:i/>
          <w:sz w:val="20"/>
          <w:szCs w:val="20"/>
        </w:rPr>
        <w:t>Occupiers of 51 Olivia,</w:t>
      </w:r>
      <w:r w:rsidRPr="00F43E80">
        <w:rPr>
          <w:rFonts w:ascii="Times New Roman" w:hAnsi="Times New Roman" w:cs="Times New Roman"/>
          <w:sz w:val="20"/>
          <w:szCs w:val="20"/>
        </w:rPr>
        <w:t xml:space="preserve"> and the subsequent eviction cases, the Constitutional Court emphasised the need for meaningful engagements during eviction. Since the adoption of meaningful engagement as jurisprudential doctrine in adjudicating eviction cases, there has been marked inconsistent conceptualisation and application. This resulted in spirited debates in academia regarding the usefulness of meaningful engagement as a judicial mechanism in the enforcement of section 26(3) of the Constitution. </w:t>
      </w:r>
      <w:proofErr w:type="spellStart"/>
      <w:r w:rsidR="0062655A" w:rsidRPr="00F43E80">
        <w:rPr>
          <w:rFonts w:ascii="Times New Roman" w:hAnsi="Times New Roman" w:cs="Times New Roman"/>
          <w:sz w:val="20"/>
          <w:szCs w:val="20"/>
        </w:rPr>
        <w:t>Madjiedt</w:t>
      </w:r>
      <w:proofErr w:type="spellEnd"/>
      <w:r w:rsidR="0062655A" w:rsidRPr="00F43E80">
        <w:rPr>
          <w:rFonts w:ascii="Times New Roman" w:hAnsi="Times New Roman" w:cs="Times New Roman"/>
          <w:sz w:val="20"/>
          <w:szCs w:val="20"/>
        </w:rPr>
        <w:t xml:space="preserve"> aptly characterises these </w:t>
      </w:r>
      <w:r w:rsidR="00952E46" w:rsidRPr="00F43E80">
        <w:rPr>
          <w:rFonts w:ascii="Times New Roman" w:hAnsi="Times New Roman" w:cs="Times New Roman"/>
          <w:sz w:val="20"/>
          <w:szCs w:val="20"/>
        </w:rPr>
        <w:t>debates</w:t>
      </w:r>
      <w:r w:rsidR="0062655A" w:rsidRPr="00F43E80">
        <w:rPr>
          <w:rFonts w:ascii="Times New Roman" w:hAnsi="Times New Roman" w:cs="Times New Roman"/>
          <w:sz w:val="20"/>
          <w:szCs w:val="20"/>
        </w:rPr>
        <w:t xml:space="preserve"> on </w:t>
      </w:r>
      <w:r w:rsidR="00052569" w:rsidRPr="00F43E80">
        <w:rPr>
          <w:rFonts w:ascii="Times New Roman" w:hAnsi="Times New Roman" w:cs="Times New Roman"/>
          <w:sz w:val="20"/>
          <w:szCs w:val="20"/>
        </w:rPr>
        <w:t>the new constitution that entrenches the s</w:t>
      </w:r>
      <w:r w:rsidR="0062655A" w:rsidRPr="00F43E80">
        <w:rPr>
          <w:rFonts w:ascii="Times New Roman" w:hAnsi="Times New Roman" w:cs="Times New Roman"/>
          <w:sz w:val="20"/>
          <w:szCs w:val="20"/>
        </w:rPr>
        <w:t>ocio-economic rights as “lively debate</w:t>
      </w:r>
      <w:r w:rsidR="00052569" w:rsidRPr="00F43E80">
        <w:rPr>
          <w:rFonts w:ascii="Times New Roman" w:hAnsi="Times New Roman" w:cs="Times New Roman"/>
          <w:sz w:val="20"/>
          <w:szCs w:val="20"/>
        </w:rPr>
        <w:t>s</w:t>
      </w:r>
      <w:r w:rsidR="0062655A" w:rsidRPr="00F43E80">
        <w:rPr>
          <w:rFonts w:ascii="Times New Roman" w:hAnsi="Times New Roman" w:cs="Times New Roman"/>
          <w:sz w:val="20"/>
          <w:szCs w:val="20"/>
        </w:rPr>
        <w:t xml:space="preserve">, not only in academic circles; but </w:t>
      </w:r>
      <w:proofErr w:type="gramStart"/>
      <w:r w:rsidR="0062655A" w:rsidRPr="00F43E80">
        <w:rPr>
          <w:rFonts w:ascii="Times New Roman" w:hAnsi="Times New Roman" w:cs="Times New Roman"/>
          <w:sz w:val="20"/>
          <w:szCs w:val="20"/>
        </w:rPr>
        <w:t>also</w:t>
      </w:r>
      <w:proofErr w:type="gramEnd"/>
      <w:r w:rsidR="0062655A" w:rsidRPr="00F43E80">
        <w:rPr>
          <w:rFonts w:ascii="Times New Roman" w:hAnsi="Times New Roman" w:cs="Times New Roman"/>
          <w:sz w:val="20"/>
          <w:szCs w:val="20"/>
        </w:rPr>
        <w:t xml:space="preserve"> amongst the public at large”.</w:t>
      </w:r>
      <w:r w:rsidR="0062655A" w:rsidRPr="00F43E80">
        <w:rPr>
          <w:rStyle w:val="FootnoteReference"/>
          <w:rFonts w:ascii="Times New Roman" w:hAnsi="Times New Roman" w:cs="Times New Roman"/>
          <w:sz w:val="20"/>
          <w:szCs w:val="20"/>
        </w:rPr>
        <w:footnoteReference w:id="16"/>
      </w:r>
    </w:p>
    <w:p w14:paraId="2D4A2598" w14:textId="77777777" w:rsidR="0062655A" w:rsidRPr="00F43E80" w:rsidRDefault="0062655A" w:rsidP="00F43E80">
      <w:pPr>
        <w:tabs>
          <w:tab w:val="left" w:pos="284"/>
        </w:tabs>
        <w:ind w:right="33"/>
        <w:jc w:val="both"/>
        <w:rPr>
          <w:rFonts w:ascii="Times New Roman" w:hAnsi="Times New Roman" w:cs="Times New Roman"/>
          <w:sz w:val="20"/>
          <w:szCs w:val="20"/>
        </w:rPr>
      </w:pPr>
    </w:p>
    <w:p w14:paraId="57951F12" w14:textId="1573B04B" w:rsidR="009C0ACF" w:rsidRPr="00F43E80" w:rsidRDefault="009C0ACF" w:rsidP="00F43E80">
      <w:pPr>
        <w:tabs>
          <w:tab w:val="left" w:pos="284"/>
        </w:tabs>
        <w:ind w:right="33"/>
        <w:jc w:val="both"/>
        <w:rPr>
          <w:rFonts w:ascii="Times New Roman" w:hAnsi="Times New Roman" w:cs="Times New Roman"/>
          <w:sz w:val="20"/>
          <w:szCs w:val="20"/>
        </w:rPr>
      </w:pPr>
      <w:proofErr w:type="spellStart"/>
      <w:r w:rsidRPr="00F43E80">
        <w:rPr>
          <w:rFonts w:ascii="Times New Roman" w:hAnsi="Times New Roman" w:cs="Times New Roman"/>
          <w:sz w:val="20"/>
          <w:szCs w:val="20"/>
        </w:rPr>
        <w:t>Tushnet</w:t>
      </w:r>
      <w:proofErr w:type="spellEnd"/>
      <w:r w:rsidRPr="00F43E80">
        <w:rPr>
          <w:rFonts w:ascii="Times New Roman" w:hAnsi="Times New Roman" w:cs="Times New Roman"/>
          <w:sz w:val="20"/>
          <w:szCs w:val="20"/>
        </w:rPr>
        <w:t xml:space="preserve"> describes meaningful engagement as a “weak form” of judicial review.</w:t>
      </w:r>
      <w:r w:rsidRPr="00F43E80">
        <w:rPr>
          <w:rStyle w:val="FootnoteReference"/>
          <w:rFonts w:ascii="Times New Roman" w:hAnsi="Times New Roman" w:cs="Times New Roman"/>
          <w:sz w:val="20"/>
          <w:szCs w:val="20"/>
        </w:rPr>
        <w:footnoteReference w:id="17"/>
      </w:r>
      <w:r w:rsidR="0062655A" w:rsidRPr="00F43E80">
        <w:rPr>
          <w:rFonts w:ascii="Times New Roman" w:hAnsi="Times New Roman" w:cs="Times New Roman"/>
          <w:sz w:val="20"/>
          <w:szCs w:val="20"/>
        </w:rPr>
        <w:t xml:space="preserve"> </w:t>
      </w:r>
      <w:r w:rsidRPr="00F43E80">
        <w:rPr>
          <w:rFonts w:ascii="Times New Roman" w:hAnsi="Times New Roman" w:cs="Times New Roman"/>
          <w:sz w:val="20"/>
          <w:szCs w:val="20"/>
        </w:rPr>
        <w:t>Conversely, Liebenberg regards meaningful engagement as a significant feature of the eviction jurisprudence that promotes the “importance of procedural fairness” and facilitates “participatory democracy” to protect the rights of the occupiers and not to pressurise them to negotiate their rights away.</w:t>
      </w:r>
      <w:r w:rsidRPr="00F43E80">
        <w:rPr>
          <w:rStyle w:val="FootnoteReference"/>
          <w:rFonts w:ascii="Times New Roman" w:hAnsi="Times New Roman" w:cs="Times New Roman"/>
          <w:sz w:val="20"/>
          <w:szCs w:val="20"/>
        </w:rPr>
        <w:footnoteReference w:id="18"/>
      </w:r>
      <w:r w:rsidRPr="00F43E80">
        <w:rPr>
          <w:rFonts w:ascii="Times New Roman" w:hAnsi="Times New Roman" w:cs="Times New Roman"/>
          <w:sz w:val="20"/>
          <w:szCs w:val="20"/>
        </w:rPr>
        <w:t xml:space="preserve"> She further asserts that it is necessary for the courts to provide clear guiding principles on the nature of the obligations imposed by this “deliberative requirement”.</w:t>
      </w:r>
      <w:r w:rsidRPr="00F43E80">
        <w:rPr>
          <w:rStyle w:val="FootnoteReference"/>
          <w:rFonts w:ascii="Times New Roman" w:hAnsi="Times New Roman" w:cs="Times New Roman"/>
          <w:sz w:val="20"/>
          <w:szCs w:val="20"/>
        </w:rPr>
        <w:footnoteReference w:id="19"/>
      </w:r>
      <w:r w:rsidRPr="00F43E80">
        <w:rPr>
          <w:rFonts w:ascii="Times New Roman" w:hAnsi="Times New Roman" w:cs="Times New Roman"/>
          <w:sz w:val="20"/>
          <w:szCs w:val="20"/>
        </w:rPr>
        <w:t xml:space="preserve"> Partly agreeing with Liebenberg’s argument, Liebenberg and Young are of the view that meaningful engagement has the potential for collaborative and deliberative decision-making processes between citizens, government, and private parties.</w:t>
      </w:r>
      <w:r w:rsidRPr="00F43E80">
        <w:rPr>
          <w:rStyle w:val="FootnoteReference"/>
          <w:rFonts w:ascii="Times New Roman" w:hAnsi="Times New Roman" w:cs="Times New Roman"/>
          <w:sz w:val="20"/>
          <w:szCs w:val="20"/>
        </w:rPr>
        <w:footnoteReference w:id="20"/>
      </w:r>
      <w:r w:rsidRPr="00F43E80">
        <w:rPr>
          <w:rFonts w:ascii="Times New Roman" w:hAnsi="Times New Roman" w:cs="Times New Roman"/>
          <w:sz w:val="20"/>
          <w:szCs w:val="20"/>
        </w:rPr>
        <w:t xml:space="preserve"> However, they make the observation that meaningful engagement still vests considerable decision-making authority in state institutions and does not serve as a vehicle enabling inclusive deliberations regarding the structural reforms needed to realise socio-economic rights.</w:t>
      </w:r>
      <w:r w:rsidRPr="00F43E80">
        <w:rPr>
          <w:rStyle w:val="FootnoteReference"/>
          <w:rFonts w:ascii="Times New Roman" w:hAnsi="Times New Roman" w:cs="Times New Roman"/>
          <w:sz w:val="20"/>
          <w:szCs w:val="20"/>
        </w:rPr>
        <w:footnoteReference w:id="21"/>
      </w:r>
      <w:r w:rsidRPr="00F43E80">
        <w:rPr>
          <w:rFonts w:ascii="Times New Roman" w:hAnsi="Times New Roman" w:cs="Times New Roman"/>
          <w:sz w:val="20"/>
          <w:szCs w:val="20"/>
        </w:rPr>
        <w:t xml:space="preserve"> This </w:t>
      </w:r>
      <w:r w:rsidRPr="00F43E80">
        <w:rPr>
          <w:rFonts w:ascii="Times New Roman" w:hAnsi="Times New Roman" w:cs="Times New Roman"/>
          <w:sz w:val="20"/>
          <w:szCs w:val="20"/>
        </w:rPr>
        <w:lastRenderedPageBreak/>
        <w:t>underscores a need for the understanding of meaningful engagement as a substantive requirement, meaning that it should confer tangible benefits upon the occupiers.</w:t>
      </w:r>
    </w:p>
    <w:p w14:paraId="0ED5CB09" w14:textId="77777777" w:rsidR="009C0ACF" w:rsidRPr="00F43E80" w:rsidRDefault="009C0ACF" w:rsidP="00F43E80">
      <w:pPr>
        <w:tabs>
          <w:tab w:val="left" w:pos="284"/>
        </w:tabs>
        <w:ind w:right="33"/>
        <w:jc w:val="both"/>
        <w:rPr>
          <w:rFonts w:ascii="Times New Roman" w:hAnsi="Times New Roman" w:cs="Times New Roman"/>
          <w:sz w:val="20"/>
          <w:szCs w:val="20"/>
        </w:rPr>
      </w:pPr>
    </w:p>
    <w:p w14:paraId="3ADAD569" w14:textId="562F9404" w:rsidR="009C0ACF" w:rsidRPr="00F43E80" w:rsidRDefault="009C0ACF" w:rsidP="00F43E80">
      <w:pPr>
        <w:tabs>
          <w:tab w:val="left" w:pos="284"/>
        </w:tabs>
        <w:ind w:right="33"/>
        <w:jc w:val="both"/>
        <w:rPr>
          <w:rFonts w:ascii="Times New Roman" w:hAnsi="Times New Roman" w:cs="Times New Roman"/>
          <w:sz w:val="20"/>
          <w:szCs w:val="20"/>
        </w:rPr>
      </w:pPr>
      <w:proofErr w:type="spellStart"/>
      <w:r w:rsidRPr="00F43E80">
        <w:rPr>
          <w:rFonts w:ascii="Times New Roman" w:hAnsi="Times New Roman" w:cs="Times New Roman"/>
          <w:sz w:val="20"/>
          <w:szCs w:val="20"/>
        </w:rPr>
        <w:t>Chenwi</w:t>
      </w:r>
      <w:proofErr w:type="spellEnd"/>
      <w:r w:rsidRPr="00F43E80">
        <w:rPr>
          <w:rFonts w:ascii="Times New Roman" w:hAnsi="Times New Roman" w:cs="Times New Roman"/>
          <w:sz w:val="20"/>
          <w:szCs w:val="20"/>
        </w:rPr>
        <w:t xml:space="preserve"> and </w:t>
      </w:r>
      <w:proofErr w:type="spellStart"/>
      <w:r w:rsidRPr="00F43E80">
        <w:rPr>
          <w:rFonts w:ascii="Times New Roman" w:hAnsi="Times New Roman" w:cs="Times New Roman"/>
          <w:sz w:val="20"/>
          <w:szCs w:val="20"/>
        </w:rPr>
        <w:t>Tissington</w:t>
      </w:r>
      <w:proofErr w:type="spellEnd"/>
      <w:r w:rsidRPr="00F43E80">
        <w:rPr>
          <w:rFonts w:ascii="Times New Roman" w:hAnsi="Times New Roman" w:cs="Times New Roman"/>
          <w:sz w:val="20"/>
          <w:szCs w:val="20"/>
        </w:rPr>
        <w:t xml:space="preserve"> agree with Liebenberg that meaningful engagement is about “participatory democracy” which, according to them, is a democracy that makes provision for individuals and communities to take part in service delivery processes and decisions.</w:t>
      </w:r>
      <w:r w:rsidRPr="00F43E80">
        <w:rPr>
          <w:rStyle w:val="FootnoteReference"/>
          <w:rFonts w:ascii="Times New Roman" w:hAnsi="Times New Roman" w:cs="Times New Roman"/>
          <w:sz w:val="20"/>
          <w:szCs w:val="20"/>
        </w:rPr>
        <w:footnoteReference w:id="22"/>
      </w:r>
      <w:r w:rsidRPr="00F43E80">
        <w:rPr>
          <w:rFonts w:ascii="Times New Roman" w:hAnsi="Times New Roman" w:cs="Times New Roman"/>
          <w:sz w:val="20"/>
          <w:szCs w:val="20"/>
        </w:rPr>
        <w:t xml:space="preserve"> Consistent with Liebenberg and Young’s view, they argue that meaningful engagement is a substantive safeguard to protect the occupiers against arbitrary eviction. In an early reaction to </w:t>
      </w:r>
      <w:r w:rsidRPr="00F43E80">
        <w:rPr>
          <w:rFonts w:ascii="Times New Roman" w:hAnsi="Times New Roman" w:cs="Times New Roman"/>
          <w:i/>
          <w:sz w:val="20"/>
          <w:szCs w:val="20"/>
        </w:rPr>
        <w:t xml:space="preserve">Occupiers of 51 Olivia Road, </w:t>
      </w:r>
      <w:proofErr w:type="spellStart"/>
      <w:r w:rsidRPr="00F43E80">
        <w:rPr>
          <w:rFonts w:ascii="Times New Roman" w:hAnsi="Times New Roman" w:cs="Times New Roman"/>
          <w:sz w:val="20"/>
          <w:szCs w:val="20"/>
        </w:rPr>
        <w:t>Chenwi</w:t>
      </w:r>
      <w:proofErr w:type="spellEnd"/>
      <w:r w:rsidRPr="00F43E80">
        <w:rPr>
          <w:rFonts w:ascii="Times New Roman" w:hAnsi="Times New Roman" w:cs="Times New Roman"/>
          <w:sz w:val="20"/>
          <w:szCs w:val="20"/>
        </w:rPr>
        <w:t xml:space="preserve"> asserts that meaningful engagement is an effective remedy and is illustrative of the transformative potential of </w:t>
      </w:r>
      <w:r w:rsidR="00E81BA8" w:rsidRPr="00F43E80">
        <w:rPr>
          <w:rFonts w:ascii="Times New Roman" w:hAnsi="Times New Roman" w:cs="Times New Roman"/>
          <w:sz w:val="20"/>
          <w:szCs w:val="20"/>
        </w:rPr>
        <w:t xml:space="preserve">participatory democracy enveloped in the </w:t>
      </w:r>
      <w:r w:rsidRPr="00F43E80">
        <w:rPr>
          <w:rFonts w:ascii="Times New Roman" w:hAnsi="Times New Roman" w:cs="Times New Roman"/>
          <w:sz w:val="20"/>
          <w:szCs w:val="20"/>
        </w:rPr>
        <w:t>Constitution.</w:t>
      </w:r>
      <w:r w:rsidRPr="00F43E80">
        <w:rPr>
          <w:rStyle w:val="FootnoteReference"/>
          <w:rFonts w:ascii="Times New Roman" w:hAnsi="Times New Roman" w:cs="Times New Roman"/>
          <w:sz w:val="20"/>
          <w:szCs w:val="20"/>
        </w:rPr>
        <w:footnoteReference w:id="23"/>
      </w:r>
      <w:r w:rsidRPr="00F43E80">
        <w:rPr>
          <w:rFonts w:ascii="Times New Roman" w:hAnsi="Times New Roman" w:cs="Times New Roman"/>
          <w:sz w:val="20"/>
          <w:szCs w:val="20"/>
        </w:rPr>
        <w:t xml:space="preserve"> </w:t>
      </w:r>
      <w:r w:rsidR="00E81BA8" w:rsidRPr="00F43E80">
        <w:rPr>
          <w:rFonts w:ascii="Times New Roman" w:hAnsi="Times New Roman" w:cs="Times New Roman"/>
          <w:sz w:val="20"/>
          <w:szCs w:val="20"/>
        </w:rPr>
        <w:t>She decries the fact that</w:t>
      </w:r>
      <w:r w:rsidRPr="00F43E80">
        <w:rPr>
          <w:rFonts w:ascii="Times New Roman" w:hAnsi="Times New Roman" w:cs="Times New Roman"/>
          <w:sz w:val="20"/>
          <w:szCs w:val="20"/>
        </w:rPr>
        <w:t xml:space="preserve"> th</w:t>
      </w:r>
      <w:r w:rsidR="00E81BA8" w:rsidRPr="00F43E80">
        <w:rPr>
          <w:rFonts w:ascii="Times New Roman" w:hAnsi="Times New Roman" w:cs="Times New Roman"/>
          <w:sz w:val="20"/>
          <w:szCs w:val="20"/>
        </w:rPr>
        <w:t xml:space="preserve">e </w:t>
      </w:r>
      <w:r w:rsidRPr="00F43E80">
        <w:rPr>
          <w:rFonts w:ascii="Times New Roman" w:hAnsi="Times New Roman" w:cs="Times New Roman"/>
          <w:sz w:val="20"/>
          <w:szCs w:val="20"/>
        </w:rPr>
        <w:t xml:space="preserve">transformative potential </w:t>
      </w:r>
      <w:r w:rsidR="00E81BA8" w:rsidRPr="00F43E80">
        <w:rPr>
          <w:rFonts w:ascii="Times New Roman" w:hAnsi="Times New Roman" w:cs="Times New Roman"/>
          <w:sz w:val="20"/>
          <w:szCs w:val="20"/>
        </w:rPr>
        <w:t xml:space="preserve">of the Constitution </w:t>
      </w:r>
      <w:r w:rsidRPr="00F43E80">
        <w:rPr>
          <w:rFonts w:ascii="Times New Roman" w:hAnsi="Times New Roman" w:cs="Times New Roman"/>
          <w:sz w:val="20"/>
          <w:szCs w:val="20"/>
        </w:rPr>
        <w:t>was limited by the failure of the Constitutional Court to adequately pronounce on substantive issues in its consideration of the broader interest of the community.</w:t>
      </w:r>
      <w:r w:rsidRPr="00F43E80">
        <w:rPr>
          <w:rStyle w:val="FootnoteReference"/>
          <w:rFonts w:ascii="Times New Roman" w:hAnsi="Times New Roman" w:cs="Times New Roman"/>
          <w:sz w:val="20"/>
          <w:szCs w:val="20"/>
        </w:rPr>
        <w:footnoteReference w:id="24"/>
      </w:r>
      <w:r w:rsidRPr="00F43E80">
        <w:rPr>
          <w:rFonts w:ascii="Times New Roman" w:hAnsi="Times New Roman" w:cs="Times New Roman"/>
          <w:sz w:val="20"/>
          <w:szCs w:val="20"/>
        </w:rPr>
        <w:t xml:space="preserve"> </w:t>
      </w:r>
      <w:r w:rsidR="00E81BA8" w:rsidRPr="00F43E80">
        <w:rPr>
          <w:rFonts w:ascii="Times New Roman" w:hAnsi="Times New Roman" w:cs="Times New Roman"/>
          <w:sz w:val="20"/>
          <w:szCs w:val="20"/>
        </w:rPr>
        <w:t xml:space="preserve">This view is amplified by </w:t>
      </w:r>
      <w:proofErr w:type="spellStart"/>
      <w:r w:rsidR="00E81BA8" w:rsidRPr="00F43E80">
        <w:rPr>
          <w:rFonts w:ascii="Times New Roman" w:hAnsi="Times New Roman" w:cs="Times New Roman"/>
          <w:sz w:val="20"/>
          <w:szCs w:val="20"/>
        </w:rPr>
        <w:t>Kollapen’s</w:t>
      </w:r>
      <w:proofErr w:type="spellEnd"/>
      <w:r w:rsidR="00E81BA8" w:rsidRPr="00F43E80">
        <w:rPr>
          <w:rFonts w:ascii="Times New Roman" w:hAnsi="Times New Roman" w:cs="Times New Roman"/>
          <w:sz w:val="20"/>
          <w:szCs w:val="20"/>
        </w:rPr>
        <w:t xml:space="preserve"> </w:t>
      </w:r>
      <w:r w:rsidR="00B75C19" w:rsidRPr="00F43E80">
        <w:rPr>
          <w:rFonts w:ascii="Times New Roman" w:hAnsi="Times New Roman" w:cs="Times New Roman"/>
          <w:sz w:val="20"/>
          <w:szCs w:val="20"/>
        </w:rPr>
        <w:t>suggestion</w:t>
      </w:r>
      <w:r w:rsidR="00E81BA8" w:rsidRPr="00F43E80">
        <w:rPr>
          <w:rFonts w:ascii="Times New Roman" w:hAnsi="Times New Roman" w:cs="Times New Roman"/>
          <w:sz w:val="20"/>
          <w:szCs w:val="20"/>
        </w:rPr>
        <w:t xml:space="preserve"> that in the adjudication of socio-economic rights “deliberative and participatory structures” must be considered in the spirit to build “deeper conception of participatory democracy throughout the fabric of society”.</w:t>
      </w:r>
      <w:r w:rsidR="00B75C19" w:rsidRPr="00F43E80">
        <w:rPr>
          <w:rStyle w:val="FootnoteReference"/>
          <w:rFonts w:ascii="Times New Roman" w:hAnsi="Times New Roman" w:cs="Times New Roman"/>
          <w:sz w:val="20"/>
          <w:szCs w:val="20"/>
        </w:rPr>
        <w:footnoteReference w:id="25"/>
      </w:r>
      <w:r w:rsidR="00B75C19" w:rsidRPr="00F43E80">
        <w:rPr>
          <w:rFonts w:ascii="Times New Roman" w:hAnsi="Times New Roman" w:cs="Times New Roman"/>
          <w:sz w:val="20"/>
          <w:szCs w:val="20"/>
        </w:rPr>
        <w:t xml:space="preserve"> This article agrees with Chenwi, </w:t>
      </w:r>
      <w:proofErr w:type="spellStart"/>
      <w:r w:rsidR="00B75C19" w:rsidRPr="00F43E80">
        <w:rPr>
          <w:rFonts w:ascii="Times New Roman" w:hAnsi="Times New Roman" w:cs="Times New Roman"/>
          <w:sz w:val="20"/>
          <w:szCs w:val="20"/>
        </w:rPr>
        <w:t>Tessington</w:t>
      </w:r>
      <w:proofErr w:type="spellEnd"/>
      <w:r w:rsidR="00B75C19" w:rsidRPr="00F43E80">
        <w:rPr>
          <w:rFonts w:ascii="Times New Roman" w:hAnsi="Times New Roman" w:cs="Times New Roman"/>
          <w:sz w:val="20"/>
          <w:szCs w:val="20"/>
        </w:rPr>
        <w:t xml:space="preserve">, Liebenberg and </w:t>
      </w:r>
      <w:proofErr w:type="spellStart"/>
      <w:r w:rsidR="00B75C19" w:rsidRPr="00F43E80">
        <w:rPr>
          <w:rFonts w:ascii="Times New Roman" w:hAnsi="Times New Roman" w:cs="Times New Roman"/>
          <w:sz w:val="20"/>
          <w:szCs w:val="20"/>
        </w:rPr>
        <w:t>Kollapen</w:t>
      </w:r>
      <w:proofErr w:type="spellEnd"/>
      <w:r w:rsidR="00B75C19" w:rsidRPr="00F43E80">
        <w:rPr>
          <w:rFonts w:ascii="Times New Roman" w:hAnsi="Times New Roman" w:cs="Times New Roman"/>
          <w:sz w:val="20"/>
          <w:szCs w:val="20"/>
        </w:rPr>
        <w:t xml:space="preserve"> that the important substantive safeguard of meaningful engagement is equitable participation that results in bottom-up decisions in the consideration of the relevant circumstances of the occupiers.</w:t>
      </w:r>
    </w:p>
    <w:p w14:paraId="7839FF5F"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406E4BB"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Ray also argues that meaningful engagement has a substantive dimension of equitable participation, accountability, and responsiveness that goes beyond the </w:t>
      </w:r>
      <w:proofErr w:type="spellStart"/>
      <w:r w:rsidRPr="00F43E80">
        <w:rPr>
          <w:rFonts w:ascii="Times New Roman" w:hAnsi="Times New Roman" w:cs="Times New Roman"/>
          <w:sz w:val="20"/>
          <w:szCs w:val="20"/>
        </w:rPr>
        <w:t>proceduralisation</w:t>
      </w:r>
      <w:proofErr w:type="spellEnd"/>
      <w:r w:rsidRPr="00F43E80">
        <w:rPr>
          <w:rFonts w:ascii="Times New Roman" w:hAnsi="Times New Roman" w:cs="Times New Roman"/>
          <w:sz w:val="20"/>
          <w:szCs w:val="20"/>
        </w:rPr>
        <w:t xml:space="preserve"> of evictions by the PIE Act.</w:t>
      </w:r>
      <w:r w:rsidRPr="00F43E80">
        <w:rPr>
          <w:rStyle w:val="FootnoteReference"/>
          <w:rFonts w:ascii="Times New Roman" w:hAnsi="Times New Roman" w:cs="Times New Roman"/>
          <w:sz w:val="20"/>
          <w:szCs w:val="20"/>
        </w:rPr>
        <w:footnoteReference w:id="26"/>
      </w:r>
      <w:r w:rsidRPr="00F43E80">
        <w:rPr>
          <w:rFonts w:ascii="Times New Roman" w:hAnsi="Times New Roman" w:cs="Times New Roman"/>
          <w:sz w:val="20"/>
          <w:szCs w:val="20"/>
        </w:rPr>
        <w:t xml:space="preserve"> The substantive dimension of meaningful engagement is supported by Muller in his assertion that it is a type of public participation that transcends procedural fairness in terms of sections 3 and 4 of the </w:t>
      </w:r>
      <w:bookmarkStart w:id="6" w:name="_Hlk207260430"/>
      <w:r w:rsidRPr="00F43E80">
        <w:rPr>
          <w:rFonts w:ascii="Times New Roman" w:hAnsi="Times New Roman" w:cs="Times New Roman"/>
          <w:sz w:val="20"/>
          <w:szCs w:val="20"/>
        </w:rPr>
        <w:t xml:space="preserve">Promotion of Administrative Justice Act 3 of 2000 </w:t>
      </w:r>
      <w:bookmarkEnd w:id="6"/>
      <w:r w:rsidRPr="00F43E80">
        <w:rPr>
          <w:rFonts w:ascii="Times New Roman" w:hAnsi="Times New Roman" w:cs="Times New Roman"/>
          <w:sz w:val="20"/>
          <w:szCs w:val="20"/>
        </w:rPr>
        <w:t>(the PAJA) and section 33 of the Constitution.</w:t>
      </w:r>
      <w:r w:rsidRPr="00F43E80">
        <w:rPr>
          <w:rStyle w:val="FootnoteReference"/>
          <w:rFonts w:ascii="Times New Roman" w:hAnsi="Times New Roman" w:cs="Times New Roman"/>
          <w:sz w:val="20"/>
          <w:szCs w:val="20"/>
        </w:rPr>
        <w:footnoteReference w:id="27"/>
      </w:r>
      <w:r w:rsidRPr="00F43E80">
        <w:rPr>
          <w:rFonts w:ascii="Times New Roman" w:hAnsi="Times New Roman" w:cs="Times New Roman"/>
          <w:sz w:val="20"/>
          <w:szCs w:val="20"/>
        </w:rPr>
        <w:t xml:space="preserve"> He further argues that meaningful engagement should be construed as a “deliberative democratic partnership” that results in a “dialogic relationship between local government and the unlawful occupiers”.</w:t>
      </w:r>
      <w:r w:rsidRPr="00F43E80">
        <w:rPr>
          <w:rStyle w:val="FootnoteReference"/>
          <w:rFonts w:ascii="Times New Roman" w:hAnsi="Times New Roman" w:cs="Times New Roman"/>
          <w:sz w:val="20"/>
          <w:szCs w:val="20"/>
        </w:rPr>
        <w:footnoteReference w:id="28"/>
      </w:r>
      <w:r w:rsidRPr="00F43E80">
        <w:rPr>
          <w:rFonts w:ascii="Times New Roman" w:hAnsi="Times New Roman" w:cs="Times New Roman"/>
          <w:sz w:val="20"/>
          <w:szCs w:val="20"/>
        </w:rPr>
        <w:t xml:space="preserve"> Muller’s conceptualisation of meaningful engagement is congruent with that of Liebenberg, </w:t>
      </w:r>
      <w:proofErr w:type="spellStart"/>
      <w:r w:rsidRPr="00F43E80">
        <w:rPr>
          <w:rFonts w:ascii="Times New Roman" w:hAnsi="Times New Roman" w:cs="Times New Roman"/>
          <w:sz w:val="20"/>
          <w:szCs w:val="20"/>
        </w:rPr>
        <w:t>Chenwi</w:t>
      </w:r>
      <w:proofErr w:type="spellEnd"/>
      <w:r w:rsidRPr="00F43E80">
        <w:rPr>
          <w:rFonts w:ascii="Times New Roman" w:hAnsi="Times New Roman" w:cs="Times New Roman"/>
          <w:sz w:val="20"/>
          <w:szCs w:val="20"/>
        </w:rPr>
        <w:t xml:space="preserve">, </w:t>
      </w:r>
      <w:proofErr w:type="spellStart"/>
      <w:r w:rsidRPr="00F43E80">
        <w:rPr>
          <w:rFonts w:ascii="Times New Roman" w:hAnsi="Times New Roman" w:cs="Times New Roman"/>
          <w:sz w:val="20"/>
          <w:szCs w:val="20"/>
        </w:rPr>
        <w:t>Tissington</w:t>
      </w:r>
      <w:proofErr w:type="spellEnd"/>
      <w:r w:rsidRPr="00F43E80">
        <w:rPr>
          <w:rFonts w:ascii="Times New Roman" w:hAnsi="Times New Roman" w:cs="Times New Roman"/>
          <w:sz w:val="20"/>
          <w:szCs w:val="20"/>
        </w:rPr>
        <w:t>, and Young.</w:t>
      </w:r>
    </w:p>
    <w:p w14:paraId="7781D8A2"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B60C4F9" w14:textId="4A161406"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Despite the conceptual ambiguities associated with meaningful engagement, there seems to be an overwhelming view in the body of scholarly literature on four aspects of meaningful engagement, which this article agrees with. First, the conceptual boundaries of meaningful engagement are too wide, which renders the doctrine complex. Secondly, meaningful engagement is a significant feature of eviction jurisprudence, which is transformative as it seeks to do away with arbitrary apartheid-style evictions. Thirdly, it offers both procedural and substantive safeguards to the unlawful occupiers, but disproportionate emphasis on procedural aspects of meaningful engagement could weaken the judicial mechanism. Lastly, genuine engagements would require attribution of substantive justice to meaningful engagement with a recognition of the right to dignity and the need for genuine participation of the unlawful occupiers.</w:t>
      </w:r>
      <w:r w:rsidR="00C84EDA" w:rsidRPr="00F43E80">
        <w:rPr>
          <w:rFonts w:ascii="Times New Roman" w:hAnsi="Times New Roman" w:cs="Times New Roman"/>
          <w:sz w:val="20"/>
          <w:szCs w:val="20"/>
        </w:rPr>
        <w:t xml:space="preserve"> To underscore the importance of genuine participation, </w:t>
      </w:r>
      <w:proofErr w:type="spellStart"/>
      <w:r w:rsidR="00C84EDA" w:rsidRPr="00F43E80">
        <w:rPr>
          <w:rFonts w:ascii="Times New Roman" w:hAnsi="Times New Roman" w:cs="Times New Roman"/>
          <w:sz w:val="20"/>
          <w:szCs w:val="20"/>
        </w:rPr>
        <w:t>Jagwanth</w:t>
      </w:r>
      <w:proofErr w:type="spellEnd"/>
      <w:r w:rsidR="00C84EDA" w:rsidRPr="00F43E80">
        <w:rPr>
          <w:rFonts w:ascii="Times New Roman" w:hAnsi="Times New Roman" w:cs="Times New Roman"/>
          <w:sz w:val="20"/>
          <w:szCs w:val="20"/>
        </w:rPr>
        <w:t xml:space="preserve"> and Soltan, in their paper presented to the FFC Conference on socio-economic rights and fiscal decentralisation argue that governments are required to make additional resources available to enable them to engage meaningfully with communities at all stages, such as decision-making, planning, implementation and evaluation processes.</w:t>
      </w:r>
      <w:r w:rsidR="00C84EDA" w:rsidRPr="00F43E80">
        <w:rPr>
          <w:rStyle w:val="FootnoteReference"/>
          <w:rFonts w:ascii="Times New Roman" w:hAnsi="Times New Roman" w:cs="Times New Roman"/>
          <w:sz w:val="20"/>
          <w:szCs w:val="20"/>
        </w:rPr>
        <w:footnoteReference w:id="29"/>
      </w:r>
    </w:p>
    <w:p w14:paraId="5A7163B1"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B0A51F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This article undertakes a comprehensive case law analysis to elucidate three distinct approaches to conceptualising meaningful engagement since the landmark judgment in </w:t>
      </w:r>
      <w:r w:rsidRPr="00F43E80">
        <w:rPr>
          <w:rFonts w:ascii="Times New Roman" w:hAnsi="Times New Roman" w:cs="Times New Roman"/>
          <w:i/>
          <w:iCs/>
          <w:sz w:val="20"/>
          <w:szCs w:val="20"/>
        </w:rPr>
        <w:t>Occupiers of 51 Olivia</w:t>
      </w:r>
      <w:r w:rsidRPr="00F43E80">
        <w:rPr>
          <w:rFonts w:ascii="Times New Roman" w:hAnsi="Times New Roman" w:cs="Times New Roman"/>
          <w:sz w:val="20"/>
          <w:szCs w:val="20"/>
        </w:rPr>
        <w:t>. The analysis reveals a nuanced, differentiated understanding of meaningful engagement that could be classified into three different conceptual approaches. The first approach, termed transformative conceptualisation in this article, encompasses judgments that embody an early progressive and change-oriented understanding of meaningful engagement.</w:t>
      </w:r>
      <w:r w:rsidRPr="00F43E80">
        <w:rPr>
          <w:rStyle w:val="FootnoteReference"/>
          <w:rFonts w:ascii="Times New Roman" w:hAnsi="Times New Roman" w:cs="Times New Roman"/>
          <w:sz w:val="20"/>
          <w:szCs w:val="20"/>
        </w:rPr>
        <w:footnoteReference w:id="30"/>
      </w:r>
      <w:r w:rsidRPr="00F43E80">
        <w:rPr>
          <w:rFonts w:ascii="Times New Roman" w:hAnsi="Times New Roman" w:cs="Times New Roman"/>
          <w:sz w:val="20"/>
          <w:szCs w:val="20"/>
        </w:rPr>
        <w:t xml:space="preserve"> In contrast, the second </w:t>
      </w:r>
      <w:r w:rsidRPr="00F43E80">
        <w:rPr>
          <w:rFonts w:ascii="Times New Roman" w:hAnsi="Times New Roman" w:cs="Times New Roman"/>
          <w:sz w:val="20"/>
          <w:szCs w:val="20"/>
        </w:rPr>
        <w:lastRenderedPageBreak/>
        <w:t>approach is referred to as regressive conceptualisation, which marks a departure from the progressive articulation.</w:t>
      </w:r>
      <w:r w:rsidRPr="00F43E80">
        <w:rPr>
          <w:rStyle w:val="FootnoteReference"/>
          <w:rFonts w:ascii="Times New Roman" w:hAnsi="Times New Roman" w:cs="Times New Roman"/>
          <w:sz w:val="20"/>
          <w:szCs w:val="20"/>
        </w:rPr>
        <w:footnoteReference w:id="31"/>
      </w:r>
      <w:r w:rsidRPr="00F43E80">
        <w:rPr>
          <w:rFonts w:ascii="Times New Roman" w:hAnsi="Times New Roman" w:cs="Times New Roman"/>
          <w:sz w:val="20"/>
          <w:szCs w:val="20"/>
        </w:rPr>
        <w:t xml:space="preserve"> This regressive category of judgments demonstrates a perfunctory and detached attitude towards the substantive safeguards, but rather puts more emphasis on procedural safeguards. The third approach signifies a reinvigorated commitment to a progressive understanding of meaningful engagement by the Constitutional Court, which is referred to as revived transformative conceptualisation in this article</w:t>
      </w:r>
      <w:r w:rsidRPr="00F43E80">
        <w:rPr>
          <w:rFonts w:ascii="Times New Roman" w:hAnsi="Times New Roman" w:cs="Times New Roman"/>
          <w:iCs/>
          <w:sz w:val="20"/>
          <w:szCs w:val="20"/>
        </w:rPr>
        <w:t>.</w:t>
      </w:r>
      <w:r w:rsidRPr="00F43E80">
        <w:rPr>
          <w:rStyle w:val="FootnoteReference"/>
          <w:rFonts w:ascii="Times New Roman" w:hAnsi="Times New Roman" w:cs="Times New Roman"/>
          <w:iCs/>
          <w:sz w:val="20"/>
          <w:szCs w:val="20"/>
        </w:rPr>
        <w:footnoteReference w:id="32"/>
      </w:r>
      <w:r w:rsidRPr="00F43E80">
        <w:rPr>
          <w:rFonts w:ascii="Times New Roman" w:hAnsi="Times New Roman" w:cs="Times New Roman"/>
          <w:iCs/>
          <w:sz w:val="20"/>
          <w:szCs w:val="20"/>
        </w:rPr>
        <w:t xml:space="preserve"> </w:t>
      </w:r>
      <w:r w:rsidRPr="00F43E80">
        <w:rPr>
          <w:rFonts w:ascii="Times New Roman" w:hAnsi="Times New Roman" w:cs="Times New Roman"/>
          <w:sz w:val="20"/>
          <w:szCs w:val="20"/>
        </w:rPr>
        <w:t>This approach indicates a renewal of the commitment by the Constitutional Court to the initial transformative ideals associated with meaningful engagement.</w:t>
      </w:r>
    </w:p>
    <w:p w14:paraId="008F7151" w14:textId="77777777" w:rsidR="009C0ACF" w:rsidRPr="00F43E80" w:rsidRDefault="009C0ACF" w:rsidP="00F43E80">
      <w:pPr>
        <w:tabs>
          <w:tab w:val="left" w:pos="284"/>
        </w:tabs>
        <w:ind w:right="33"/>
        <w:jc w:val="both"/>
        <w:rPr>
          <w:rFonts w:ascii="Times New Roman" w:hAnsi="Times New Roman" w:cs="Times New Roman"/>
          <w:sz w:val="20"/>
          <w:szCs w:val="20"/>
        </w:rPr>
      </w:pPr>
    </w:p>
    <w:p w14:paraId="19FAE2A1" w14:textId="77777777" w:rsidR="009C0ACF" w:rsidRPr="00F43E80" w:rsidRDefault="009C0ACF" w:rsidP="00F43E80">
      <w:pPr>
        <w:tabs>
          <w:tab w:val="left" w:pos="284"/>
        </w:tabs>
        <w:ind w:right="33"/>
        <w:jc w:val="both"/>
        <w:rPr>
          <w:rFonts w:ascii="Times New Roman" w:hAnsi="Times New Roman" w:cs="Times New Roman"/>
          <w:b/>
          <w:sz w:val="20"/>
          <w:szCs w:val="20"/>
        </w:rPr>
      </w:pPr>
      <w:r w:rsidRPr="00F43E80">
        <w:rPr>
          <w:rFonts w:ascii="Times New Roman" w:hAnsi="Times New Roman" w:cs="Times New Roman"/>
          <w:b/>
          <w:sz w:val="20"/>
          <w:szCs w:val="20"/>
        </w:rPr>
        <w:t>3</w:t>
      </w:r>
      <w:r w:rsidRPr="00F43E80">
        <w:rPr>
          <w:rFonts w:ascii="Times New Roman" w:hAnsi="Times New Roman" w:cs="Times New Roman"/>
          <w:b/>
          <w:sz w:val="20"/>
          <w:szCs w:val="20"/>
        </w:rPr>
        <w:tab/>
        <w:t>THE TRANSFORMATIVE CONCEPTUALISATION OF MEANINGFUL ENGAGEMENT BY THE CONSTITUTIONAL COURT</w:t>
      </w:r>
    </w:p>
    <w:p w14:paraId="48D508CA"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focus of this article is on meaningful engagement as it was developed and conceptualised in </w:t>
      </w:r>
      <w:r w:rsidRPr="00F43E80">
        <w:rPr>
          <w:rFonts w:ascii="Times New Roman" w:hAnsi="Times New Roman" w:cs="Times New Roman"/>
          <w:i/>
          <w:iCs/>
          <w:sz w:val="20"/>
          <w:szCs w:val="20"/>
        </w:rPr>
        <w:t>Occupiers of 51 Olivia.</w:t>
      </w:r>
      <w:r w:rsidRPr="00F43E80">
        <w:rPr>
          <w:rFonts w:ascii="Times New Roman" w:hAnsi="Times New Roman" w:cs="Times New Roman"/>
          <w:i/>
          <w:sz w:val="20"/>
          <w:szCs w:val="20"/>
        </w:rPr>
        <w:t xml:space="preserve"> </w:t>
      </w:r>
      <w:r w:rsidRPr="00F43E80">
        <w:rPr>
          <w:rFonts w:ascii="Times New Roman" w:hAnsi="Times New Roman" w:cs="Times New Roman"/>
          <w:sz w:val="20"/>
          <w:szCs w:val="20"/>
        </w:rPr>
        <w:t>In this case, the City of Johannesburg embarked on an extensive regeneration programme aimed at enticing commercial property developers to take control of urban slum properties by evicting the occupiers and then refurbishing the buildings for occupation at much higher rentals. This programme was called the City of Johannesburg Inner City Regeneration Strategy.</w:t>
      </w:r>
    </w:p>
    <w:p w14:paraId="2FBF0B9B"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F2D0FC6"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regeneration programme made no provision for the re-accommodation of poor and vulnerable people who were living in slum properties and who would be unable to afford the rentals of the refurbished properties. In the High Court, </w:t>
      </w:r>
      <w:proofErr w:type="spellStart"/>
      <w:r w:rsidRPr="00F43E80">
        <w:rPr>
          <w:rFonts w:ascii="Times New Roman" w:hAnsi="Times New Roman" w:cs="Times New Roman"/>
          <w:sz w:val="20"/>
          <w:szCs w:val="20"/>
        </w:rPr>
        <w:t>Jajbhay</w:t>
      </w:r>
      <w:proofErr w:type="spellEnd"/>
      <w:r w:rsidRPr="00F43E80">
        <w:rPr>
          <w:rFonts w:ascii="Times New Roman" w:hAnsi="Times New Roman" w:cs="Times New Roman"/>
          <w:sz w:val="20"/>
          <w:szCs w:val="20"/>
        </w:rPr>
        <w:t xml:space="preserve"> J dismissed the application for eviction by the City on the basis that the City had failed to adopt a policy through which the occupiers could access affordable alternative accommodation.</w:t>
      </w:r>
      <w:r w:rsidRPr="00F43E80">
        <w:rPr>
          <w:rStyle w:val="FootnoteReference"/>
          <w:rFonts w:ascii="Times New Roman" w:hAnsi="Times New Roman" w:cs="Times New Roman"/>
          <w:sz w:val="20"/>
          <w:szCs w:val="20"/>
        </w:rPr>
        <w:footnoteReference w:id="33"/>
      </w:r>
      <w:r w:rsidRPr="00F43E80">
        <w:rPr>
          <w:rFonts w:ascii="Times New Roman" w:hAnsi="Times New Roman" w:cs="Times New Roman"/>
          <w:sz w:val="20"/>
          <w:szCs w:val="20"/>
        </w:rPr>
        <w:t xml:space="preserve"> On appeal, the Supreme Court of Appeals (SCA) set aside most of the High Court’s order and held that the City’s right to seek the evacuation of a building it considered unsafe was not conditional on being able to provide alternative accommodation.</w:t>
      </w:r>
      <w:r w:rsidRPr="00F43E80">
        <w:rPr>
          <w:rStyle w:val="FootnoteReference"/>
          <w:rFonts w:ascii="Times New Roman" w:hAnsi="Times New Roman" w:cs="Times New Roman"/>
          <w:sz w:val="20"/>
          <w:szCs w:val="20"/>
        </w:rPr>
        <w:footnoteReference w:id="34"/>
      </w:r>
      <w:r w:rsidRPr="00F43E80">
        <w:rPr>
          <w:rFonts w:ascii="Times New Roman" w:hAnsi="Times New Roman" w:cs="Times New Roman"/>
          <w:sz w:val="20"/>
          <w:szCs w:val="20"/>
        </w:rPr>
        <w:t xml:space="preserve"> As a result of this ruling, the eviction order was reinstated. The occupiers applied for leave to appeal to the Constitutional Court.</w:t>
      </w:r>
    </w:p>
    <w:p w14:paraId="0EC3104D"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C5506A1"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The occupiers appealed the SCA decision to the Constitutional Court, and two days after the application for leave to appeal was heard, the Constitutional Court issued an interim order aimed at ensuring that the City and the occupiers engaged with each other meaningfully on certain issues related to the eviction. The rationale for the interim order was twofold: the City and the occupiers had to engage meaningfully to resolve the differences and difficulties highlighted in the application; and they had to engage with each other in an effort to alleviate the plight of the occupiers.</w:t>
      </w:r>
      <w:r w:rsidRPr="00F43E80">
        <w:rPr>
          <w:rStyle w:val="FootnoteReference"/>
          <w:rFonts w:ascii="Times New Roman" w:hAnsi="Times New Roman" w:cs="Times New Roman"/>
          <w:sz w:val="20"/>
          <w:szCs w:val="20"/>
        </w:rPr>
        <w:footnoteReference w:id="35"/>
      </w:r>
      <w:r w:rsidRPr="00F43E80">
        <w:rPr>
          <w:rFonts w:ascii="Times New Roman" w:hAnsi="Times New Roman" w:cs="Times New Roman"/>
          <w:sz w:val="20"/>
          <w:szCs w:val="20"/>
        </w:rPr>
        <w:t xml:space="preserve"> After two months of intensive negotiations, which were overseen by the Constitutional Court, the matter was finally resolved with the occupiers being offered and accepting accommodation in another building yet to be refurbished. </w:t>
      </w:r>
    </w:p>
    <w:p w14:paraId="14EC3239"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44F5F31"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When the matter returned to the Constitutional Court, Yacoob J took the opportunity to develop and expand upon the concept of meaningful engagement. He mentioned that the most significant steps in the implementation of housing policy must be taken after meaningful engagement with the affected people.</w:t>
      </w:r>
      <w:r w:rsidRPr="00F43E80">
        <w:rPr>
          <w:rStyle w:val="FootnoteReference"/>
          <w:rFonts w:ascii="Times New Roman" w:hAnsi="Times New Roman" w:cs="Times New Roman"/>
          <w:sz w:val="20"/>
          <w:szCs w:val="20"/>
        </w:rPr>
        <w:footnoteReference w:id="36"/>
      </w:r>
      <w:r w:rsidRPr="00F43E80">
        <w:rPr>
          <w:rFonts w:ascii="Times New Roman" w:hAnsi="Times New Roman" w:cs="Times New Roman"/>
          <w:sz w:val="20"/>
          <w:szCs w:val="20"/>
        </w:rPr>
        <w:t xml:space="preserve"> He held that when the state intends to remove or displace people from their existing homes, meaningful engagement should normally be a prerequisite for the institution of eviction proceedings.</w:t>
      </w:r>
      <w:r w:rsidRPr="00F43E80">
        <w:rPr>
          <w:rStyle w:val="FootnoteReference"/>
          <w:rFonts w:ascii="Times New Roman" w:hAnsi="Times New Roman" w:cs="Times New Roman"/>
          <w:sz w:val="20"/>
          <w:szCs w:val="20"/>
        </w:rPr>
        <w:footnoteReference w:id="37"/>
      </w:r>
    </w:p>
    <w:p w14:paraId="3403B444" w14:textId="77777777" w:rsidR="009C0ACF" w:rsidRPr="00F43E80" w:rsidRDefault="009C0ACF" w:rsidP="00F43E80">
      <w:pPr>
        <w:tabs>
          <w:tab w:val="left" w:pos="284"/>
        </w:tabs>
        <w:ind w:right="33"/>
        <w:jc w:val="both"/>
        <w:rPr>
          <w:rFonts w:ascii="Times New Roman" w:hAnsi="Times New Roman" w:cs="Times New Roman"/>
          <w:sz w:val="20"/>
          <w:szCs w:val="20"/>
        </w:rPr>
      </w:pPr>
    </w:p>
    <w:p w14:paraId="0D2769E6"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Yacoob J held that engagement must be undertaken without secrecy and should focus on meeting the reasonable needs of the poor community.</w:t>
      </w:r>
      <w:r w:rsidRPr="00F43E80">
        <w:rPr>
          <w:rStyle w:val="FootnoteReference"/>
          <w:rFonts w:ascii="Times New Roman" w:hAnsi="Times New Roman" w:cs="Times New Roman"/>
          <w:sz w:val="20"/>
          <w:szCs w:val="20"/>
        </w:rPr>
        <w:footnoteReference w:id="38"/>
      </w:r>
      <w:r w:rsidRPr="00F43E80">
        <w:rPr>
          <w:rFonts w:ascii="Times New Roman" w:hAnsi="Times New Roman" w:cs="Times New Roman"/>
          <w:sz w:val="20"/>
          <w:szCs w:val="20"/>
        </w:rPr>
        <w:t xml:space="preserve"> Because no such engagement took place before the eviction order was issued by the SCA, the order by the SCA was set aside. Yacoob J laid the scope of meaningful engagement. First, the engagement should be a two-way process in which both parties should engage with each other, and there should be no closed list of the objectives of engagement.</w:t>
      </w:r>
      <w:r w:rsidRPr="00F43E80">
        <w:rPr>
          <w:rStyle w:val="FootnoteReference"/>
          <w:rFonts w:ascii="Times New Roman" w:hAnsi="Times New Roman" w:cs="Times New Roman"/>
          <w:sz w:val="20"/>
          <w:szCs w:val="20"/>
        </w:rPr>
        <w:footnoteReference w:id="39"/>
      </w:r>
      <w:r w:rsidRPr="00F43E80">
        <w:rPr>
          <w:rFonts w:ascii="Times New Roman" w:hAnsi="Times New Roman" w:cs="Times New Roman"/>
          <w:sz w:val="20"/>
          <w:szCs w:val="20"/>
        </w:rPr>
        <w:t xml:space="preserve"> Secondly, the municipality must ensure that the occupiers are capacitated to avoid a “top-down </w:t>
      </w:r>
      <w:r w:rsidRPr="00F43E80">
        <w:rPr>
          <w:rFonts w:ascii="Times New Roman" w:hAnsi="Times New Roman" w:cs="Times New Roman"/>
          <w:sz w:val="20"/>
          <w:szCs w:val="20"/>
        </w:rPr>
        <w:lastRenderedPageBreak/>
        <w:t>approach” during engagements.</w:t>
      </w:r>
      <w:r w:rsidRPr="00F43E80">
        <w:rPr>
          <w:rStyle w:val="FootnoteReference"/>
          <w:rFonts w:ascii="Times New Roman" w:hAnsi="Times New Roman" w:cs="Times New Roman"/>
          <w:sz w:val="20"/>
          <w:szCs w:val="20"/>
        </w:rPr>
        <w:footnoteReference w:id="40"/>
      </w:r>
      <w:r w:rsidRPr="00F43E80">
        <w:rPr>
          <w:rFonts w:ascii="Times New Roman" w:hAnsi="Times New Roman" w:cs="Times New Roman"/>
          <w:sz w:val="20"/>
          <w:szCs w:val="20"/>
        </w:rPr>
        <w:t xml:space="preserve"> Thirdly, the people in need of housing must be encouraged to be proactive and equitably participate in finding solutions to their challenges, and not just be purely defensive.</w:t>
      </w:r>
      <w:r w:rsidRPr="00F43E80">
        <w:rPr>
          <w:rStyle w:val="FootnoteReference"/>
          <w:rFonts w:ascii="Times New Roman" w:hAnsi="Times New Roman" w:cs="Times New Roman"/>
          <w:sz w:val="20"/>
          <w:szCs w:val="20"/>
        </w:rPr>
        <w:footnoteReference w:id="41"/>
      </w:r>
      <w:r w:rsidRPr="00F43E80">
        <w:rPr>
          <w:rFonts w:ascii="Times New Roman" w:hAnsi="Times New Roman" w:cs="Times New Roman"/>
          <w:sz w:val="20"/>
          <w:szCs w:val="20"/>
        </w:rPr>
        <w:t xml:space="preserve"> Fourthly, the larger the number of people potentially to be affected by an eviction, the greater the need for “structured, consistent and careful engagements”.</w:t>
      </w:r>
      <w:r w:rsidRPr="00F43E80">
        <w:rPr>
          <w:rStyle w:val="FootnoteReference"/>
          <w:rFonts w:ascii="Times New Roman" w:hAnsi="Times New Roman" w:cs="Times New Roman"/>
          <w:sz w:val="20"/>
          <w:szCs w:val="20"/>
        </w:rPr>
        <w:footnoteReference w:id="42"/>
      </w:r>
      <w:r w:rsidRPr="00F43E80">
        <w:rPr>
          <w:rFonts w:ascii="Times New Roman" w:hAnsi="Times New Roman" w:cs="Times New Roman"/>
          <w:sz w:val="20"/>
          <w:szCs w:val="20"/>
        </w:rPr>
        <w:t xml:space="preserve"> </w:t>
      </w:r>
    </w:p>
    <w:p w14:paraId="3C166430" w14:textId="77777777" w:rsidR="009C0ACF" w:rsidRPr="00F43E80" w:rsidRDefault="009C0ACF" w:rsidP="00F43E80">
      <w:pPr>
        <w:tabs>
          <w:tab w:val="left" w:pos="284"/>
        </w:tabs>
        <w:ind w:right="33"/>
        <w:jc w:val="both"/>
        <w:rPr>
          <w:rFonts w:ascii="Times New Roman" w:hAnsi="Times New Roman" w:cs="Times New Roman"/>
          <w:iCs/>
          <w:sz w:val="20"/>
          <w:szCs w:val="20"/>
        </w:rPr>
      </w:pPr>
    </w:p>
    <w:p w14:paraId="420E51CA"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i/>
          <w:iCs/>
          <w:sz w:val="20"/>
          <w:szCs w:val="20"/>
        </w:rPr>
        <w:t xml:space="preserve">Occupiers of 51 Olivia </w:t>
      </w:r>
      <w:r w:rsidRPr="00F43E80">
        <w:rPr>
          <w:rFonts w:ascii="Times New Roman" w:hAnsi="Times New Roman" w:cs="Times New Roman"/>
          <w:sz w:val="20"/>
          <w:szCs w:val="20"/>
        </w:rPr>
        <w:t>marked a watershed moment for the progressive conceptualisation of meaningful engagement.</w:t>
      </w:r>
      <w:r w:rsidRPr="00F43E80">
        <w:rPr>
          <w:rFonts w:ascii="Times New Roman" w:hAnsi="Times New Roman" w:cs="Times New Roman"/>
          <w:i/>
          <w:iCs/>
          <w:sz w:val="20"/>
          <w:szCs w:val="20"/>
        </w:rPr>
        <w:t xml:space="preserve"> </w:t>
      </w:r>
      <w:r w:rsidRPr="00F43E80">
        <w:rPr>
          <w:rFonts w:ascii="Times New Roman" w:hAnsi="Times New Roman" w:cs="Times New Roman"/>
          <w:sz w:val="20"/>
          <w:szCs w:val="20"/>
        </w:rPr>
        <w:t>Even though there were meetings and many report-back sessions with the unlawful occupiers, the Constitutional Court held that there was no real participation of the occupiers. The use of “real participation” by the Constitutional Court focused on substantive involvement of the occupiers in the bottom-up decision-making process. The Constitutional Court rejected what it perceived as tokenism and placation forms of participation, which are characterised by top-down decision-making. This judgment marked a critical turning point in the eviction jurisprudence regarding the extent and nature of the participation of occupiers during evictions. In this case, the Constitutional Court accorded the occupiers with enhanced protection of the section 26(3) right based on the need for “effective engagement”.</w:t>
      </w:r>
      <w:r w:rsidRPr="00F43E80">
        <w:rPr>
          <w:rStyle w:val="FootnoteReference"/>
          <w:rFonts w:ascii="Times New Roman" w:hAnsi="Times New Roman" w:cs="Times New Roman"/>
          <w:sz w:val="20"/>
          <w:szCs w:val="20"/>
        </w:rPr>
        <w:footnoteReference w:id="43"/>
      </w:r>
      <w:r w:rsidRPr="00F43E80">
        <w:rPr>
          <w:rFonts w:ascii="Times New Roman" w:hAnsi="Times New Roman" w:cs="Times New Roman"/>
          <w:sz w:val="20"/>
          <w:szCs w:val="20"/>
        </w:rPr>
        <w:t xml:space="preserve"> The use of the adjective “effective” is a clear indication of the Constitutional Court’s commitment to substantive involvement of the occupiers as opposed to procedural compliance.</w:t>
      </w:r>
    </w:p>
    <w:p w14:paraId="3A648FBE" w14:textId="77777777" w:rsidR="009C0ACF" w:rsidRPr="00F43E80" w:rsidRDefault="009C0ACF" w:rsidP="00F43E80">
      <w:pPr>
        <w:tabs>
          <w:tab w:val="left" w:pos="284"/>
        </w:tabs>
        <w:ind w:right="33"/>
        <w:jc w:val="both"/>
        <w:rPr>
          <w:rFonts w:ascii="Times New Roman" w:hAnsi="Times New Roman" w:cs="Times New Roman"/>
          <w:sz w:val="20"/>
          <w:szCs w:val="20"/>
        </w:rPr>
      </w:pPr>
    </w:p>
    <w:p w14:paraId="3EEB524D"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i/>
          <w:sz w:val="20"/>
          <w:szCs w:val="20"/>
        </w:rPr>
        <w:t xml:space="preserve"> </w:t>
      </w:r>
      <w:r w:rsidRPr="00F43E80">
        <w:rPr>
          <w:rFonts w:ascii="Times New Roman" w:hAnsi="Times New Roman" w:cs="Times New Roman"/>
          <w:i/>
          <w:sz w:val="20"/>
          <w:szCs w:val="20"/>
        </w:rPr>
        <w:tab/>
      </w:r>
      <w:r w:rsidRPr="00F43E80">
        <w:rPr>
          <w:rFonts w:ascii="Times New Roman" w:hAnsi="Times New Roman" w:cs="Times New Roman"/>
          <w:iCs/>
          <w:sz w:val="20"/>
          <w:szCs w:val="20"/>
        </w:rPr>
        <w:t xml:space="preserve">The judgment in </w:t>
      </w:r>
      <w:proofErr w:type="spellStart"/>
      <w:r w:rsidRPr="00F43E80">
        <w:rPr>
          <w:rFonts w:ascii="Times New Roman" w:hAnsi="Times New Roman" w:cs="Times New Roman"/>
          <w:i/>
          <w:sz w:val="20"/>
          <w:szCs w:val="20"/>
        </w:rPr>
        <w:t>Abahlali</w:t>
      </w:r>
      <w:proofErr w:type="spellEnd"/>
      <w:r w:rsidRPr="00F43E80">
        <w:rPr>
          <w:rFonts w:ascii="Times New Roman" w:hAnsi="Times New Roman" w:cs="Times New Roman"/>
          <w:i/>
          <w:sz w:val="20"/>
          <w:szCs w:val="20"/>
        </w:rPr>
        <w:t xml:space="preserve"> </w:t>
      </w:r>
      <w:proofErr w:type="spellStart"/>
      <w:r w:rsidRPr="00F43E80">
        <w:rPr>
          <w:rFonts w:ascii="Times New Roman" w:hAnsi="Times New Roman" w:cs="Times New Roman"/>
          <w:i/>
          <w:sz w:val="20"/>
          <w:szCs w:val="20"/>
        </w:rPr>
        <w:t>BaseMjondolo</w:t>
      </w:r>
      <w:proofErr w:type="spellEnd"/>
      <w:r w:rsidRPr="00F43E80">
        <w:rPr>
          <w:rFonts w:ascii="Times New Roman" w:hAnsi="Times New Roman" w:cs="Times New Roman"/>
          <w:iCs/>
          <w:sz w:val="20"/>
          <w:szCs w:val="20"/>
        </w:rPr>
        <w:t xml:space="preserve"> followed suit as the progressive conceptualisation of meaningful engagement was enhanced</w:t>
      </w:r>
      <w:r w:rsidRPr="00F43E80">
        <w:rPr>
          <w:rFonts w:ascii="Times New Roman" w:hAnsi="Times New Roman" w:cs="Times New Roman"/>
          <w:sz w:val="20"/>
          <w:szCs w:val="20"/>
        </w:rPr>
        <w:t xml:space="preserve">. The </w:t>
      </w:r>
      <w:proofErr w:type="spellStart"/>
      <w:r w:rsidRPr="00F43E80">
        <w:rPr>
          <w:rFonts w:ascii="Times New Roman" w:hAnsi="Times New Roman" w:cs="Times New Roman"/>
          <w:sz w:val="20"/>
          <w:szCs w:val="20"/>
        </w:rPr>
        <w:t>Abahlali</w:t>
      </w:r>
      <w:proofErr w:type="spellEnd"/>
      <w:r w:rsidRPr="00F43E80">
        <w:rPr>
          <w:rFonts w:ascii="Times New Roman" w:hAnsi="Times New Roman" w:cs="Times New Roman"/>
          <w:sz w:val="20"/>
          <w:szCs w:val="20"/>
        </w:rPr>
        <w:t xml:space="preserve"> </w:t>
      </w:r>
      <w:proofErr w:type="spellStart"/>
      <w:r w:rsidRPr="00F43E80">
        <w:rPr>
          <w:rFonts w:ascii="Times New Roman" w:hAnsi="Times New Roman" w:cs="Times New Roman"/>
          <w:sz w:val="20"/>
          <w:szCs w:val="20"/>
        </w:rPr>
        <w:t>BaseMjondolo</w:t>
      </w:r>
      <w:proofErr w:type="spellEnd"/>
      <w:r w:rsidRPr="00F43E80">
        <w:rPr>
          <w:rFonts w:ascii="Times New Roman" w:hAnsi="Times New Roman" w:cs="Times New Roman"/>
          <w:sz w:val="20"/>
          <w:szCs w:val="20"/>
        </w:rPr>
        <w:t xml:space="preserve"> Movement of South Africa, an organisation that represented thousands of people who lived in informal settlements, approached the KwaZulu-Natal High Court to challenge the constitutionality of the </w:t>
      </w:r>
      <w:bookmarkStart w:id="10" w:name="_Hlk207260454"/>
      <w:r w:rsidRPr="00F43E80">
        <w:rPr>
          <w:rFonts w:ascii="Times New Roman" w:hAnsi="Times New Roman" w:cs="Times New Roman"/>
          <w:sz w:val="20"/>
          <w:szCs w:val="20"/>
        </w:rPr>
        <w:t>KwaZulu-Natal Elimination and Prevention of Re-Emergence of Slums. Act (Slums Act).</w:t>
      </w:r>
      <w:r w:rsidRPr="00F43E80">
        <w:rPr>
          <w:rStyle w:val="FootnoteReference"/>
          <w:rFonts w:ascii="Times New Roman" w:hAnsi="Times New Roman" w:cs="Times New Roman"/>
          <w:sz w:val="20"/>
          <w:szCs w:val="20"/>
        </w:rPr>
        <w:footnoteReference w:id="44"/>
      </w:r>
      <w:r w:rsidRPr="00F43E80">
        <w:rPr>
          <w:rFonts w:ascii="Times New Roman" w:hAnsi="Times New Roman" w:cs="Times New Roman"/>
          <w:sz w:val="20"/>
          <w:szCs w:val="20"/>
        </w:rPr>
        <w:t xml:space="preserve"> The High Court dismissed the challenge to the validity of the Slums Act.</w:t>
      </w:r>
      <w:bookmarkEnd w:id="10"/>
      <w:r w:rsidRPr="00F43E80">
        <w:rPr>
          <w:rFonts w:ascii="Times New Roman" w:hAnsi="Times New Roman" w:cs="Times New Roman"/>
          <w:sz w:val="20"/>
          <w:szCs w:val="20"/>
        </w:rPr>
        <w:t xml:space="preserve"> The applicants appealed to the Constitutional Court and raised two arguments. First, the whole of the Slums Act was invalid as the Provincial Government had no jurisdiction to enact such a law. The Constitutional Court unanimously rejected this argument as misconceived. Secondly, section 16 of the Act was unconstitutional as it gave a Member of the Executive Council (MEC) powers to publish a notice in a Provincial Gazette determining a period within which an owner or a person in charge of land or a building had to institute proceedings to evict the occupiers under the PIE Act. If the owner or the person in charge failed, the municipality had to institute proceedings to evict the occupiers. The Constitutional Court was divided on this argument as to whether section 16 of the Slums Act excluded meaningful engagement.</w:t>
      </w:r>
    </w:p>
    <w:p w14:paraId="64C12B7D"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1AE3A3E"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In the majority judgment, Moseneke J held that the question of the reasonableness of section 16 of the Slums Act is about whether the section allows for a “proper engagement process”.</w:t>
      </w:r>
      <w:r w:rsidRPr="00F43E80">
        <w:rPr>
          <w:rStyle w:val="FootnoteReference"/>
          <w:rFonts w:ascii="Times New Roman" w:hAnsi="Times New Roman" w:cs="Times New Roman"/>
          <w:sz w:val="20"/>
          <w:szCs w:val="20"/>
        </w:rPr>
        <w:footnoteReference w:id="45"/>
      </w:r>
      <w:r w:rsidRPr="00F43E80">
        <w:rPr>
          <w:rFonts w:ascii="Times New Roman" w:hAnsi="Times New Roman" w:cs="Times New Roman"/>
          <w:sz w:val="20"/>
          <w:szCs w:val="20"/>
        </w:rPr>
        <w:t xml:space="preserve"> He further held that a proper engagement process “would include taking into proper consideration the wishes of the people who are to be evicted”.</w:t>
      </w:r>
      <w:r w:rsidRPr="00F43E80">
        <w:rPr>
          <w:rStyle w:val="FootnoteReference"/>
          <w:rFonts w:ascii="Times New Roman" w:hAnsi="Times New Roman" w:cs="Times New Roman"/>
          <w:sz w:val="20"/>
          <w:szCs w:val="20"/>
        </w:rPr>
        <w:footnoteReference w:id="46"/>
      </w:r>
      <w:r w:rsidRPr="00F43E80">
        <w:rPr>
          <w:rFonts w:ascii="Times New Roman" w:hAnsi="Times New Roman" w:cs="Times New Roman"/>
          <w:sz w:val="20"/>
          <w:szCs w:val="20"/>
        </w:rPr>
        <w:t xml:space="preserve"> He held that meaningful engagement would also take into consideration the manner in which the eviction would be executed and the timeframes for the eviction.</w:t>
      </w:r>
      <w:r w:rsidRPr="00F43E80">
        <w:rPr>
          <w:rStyle w:val="FootnoteReference"/>
          <w:rFonts w:ascii="Times New Roman" w:hAnsi="Times New Roman" w:cs="Times New Roman"/>
          <w:sz w:val="20"/>
          <w:szCs w:val="20"/>
        </w:rPr>
        <w:footnoteReference w:id="47"/>
      </w:r>
      <w:r w:rsidRPr="00F43E80">
        <w:rPr>
          <w:rFonts w:ascii="Times New Roman" w:hAnsi="Times New Roman" w:cs="Times New Roman"/>
          <w:sz w:val="20"/>
          <w:szCs w:val="20"/>
        </w:rPr>
        <w:t xml:space="preserve"> Based on this, he held that it was apparent on the face of it that section 16 of the Slums Act was irreconcilable with the need for meaningful engagement. This majority judgment falls within the category of progressive conceptualisation because the Constitutional Court managed to strike a balance between the substantive and procedural safeguards in the application of meaningful engagement.</w:t>
      </w:r>
    </w:p>
    <w:p w14:paraId="73FD4293"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5EFEA60" w14:textId="77777777" w:rsidR="009C0ACF" w:rsidRPr="00F43E80" w:rsidRDefault="009C0ACF" w:rsidP="00F43E80">
      <w:pPr>
        <w:tabs>
          <w:tab w:val="left" w:pos="284"/>
        </w:tabs>
        <w:ind w:right="33"/>
        <w:jc w:val="both"/>
        <w:rPr>
          <w:rFonts w:ascii="Times New Roman" w:hAnsi="Times New Roman" w:cs="Times New Roman"/>
          <w:i/>
          <w:sz w:val="20"/>
          <w:szCs w:val="20"/>
        </w:rPr>
      </w:pPr>
      <w:r w:rsidRPr="00F43E80">
        <w:rPr>
          <w:rFonts w:ascii="Times New Roman" w:hAnsi="Times New Roman" w:cs="Times New Roman"/>
          <w:sz w:val="20"/>
          <w:szCs w:val="20"/>
        </w:rPr>
        <w:t>Key to meaningful engagement was the use by the Constitutional Court of its adjudicative function to tilt the balance of power in favour of the poor, marginalised, and vulnerable occupiers.</w:t>
      </w:r>
      <w:r w:rsidRPr="00F43E80">
        <w:rPr>
          <w:rStyle w:val="FootnoteReference"/>
          <w:rFonts w:ascii="Times New Roman" w:hAnsi="Times New Roman" w:cs="Times New Roman"/>
          <w:sz w:val="20"/>
          <w:szCs w:val="20"/>
        </w:rPr>
        <w:footnoteReference w:id="48"/>
      </w:r>
      <w:r w:rsidRPr="00F43E80">
        <w:rPr>
          <w:rFonts w:ascii="Times New Roman" w:hAnsi="Times New Roman" w:cs="Times New Roman"/>
          <w:sz w:val="20"/>
          <w:szCs w:val="20"/>
        </w:rPr>
        <w:t xml:space="preserve"> In so doing, the Constitutional Court was driven by its judicial commitment to the transformative vision of the Constitution to redress the past injustices by promoting the rights to human dignity, equality, and freedom. </w:t>
      </w:r>
    </w:p>
    <w:p w14:paraId="6FFF5125" w14:textId="77777777" w:rsidR="009C0ACF" w:rsidRPr="00F43E80" w:rsidRDefault="009C0ACF" w:rsidP="00F43E80">
      <w:pPr>
        <w:tabs>
          <w:tab w:val="left" w:pos="284"/>
        </w:tabs>
        <w:ind w:right="33"/>
        <w:jc w:val="both"/>
        <w:rPr>
          <w:rFonts w:ascii="Times New Roman" w:hAnsi="Times New Roman" w:cs="Times New Roman"/>
          <w:i/>
          <w:sz w:val="20"/>
          <w:szCs w:val="20"/>
        </w:rPr>
      </w:pPr>
    </w:p>
    <w:p w14:paraId="30D8E457"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 </w:t>
      </w:r>
      <w:r w:rsidRPr="00F43E80">
        <w:rPr>
          <w:rFonts w:ascii="Times New Roman" w:hAnsi="Times New Roman" w:cs="Times New Roman"/>
          <w:sz w:val="20"/>
          <w:szCs w:val="20"/>
        </w:rPr>
        <w:tab/>
      </w:r>
      <w:r w:rsidRPr="00F43E80">
        <w:rPr>
          <w:rFonts w:ascii="Times New Roman" w:hAnsi="Times New Roman" w:cs="Times New Roman"/>
          <w:i/>
          <w:iCs/>
          <w:sz w:val="20"/>
          <w:szCs w:val="20"/>
        </w:rPr>
        <w:t>Occupiers of 51 Olivia</w:t>
      </w:r>
      <w:r w:rsidRPr="00F43E80">
        <w:rPr>
          <w:rFonts w:ascii="Times New Roman" w:hAnsi="Times New Roman" w:cs="Times New Roman"/>
          <w:sz w:val="20"/>
          <w:szCs w:val="20"/>
        </w:rPr>
        <w:t xml:space="preserve"> represents a coming of age for the Constitutional Court as it was able to develop its doctrinal approach regarding the adjudication of socio-economic rights. The Constitutional Court was also able to take advantage of the jurisprudence that had been developed by the CESCR, notwithstanding its rejection of the minimum core approach on the basis that the concept was not adequately defined. Impressively, in </w:t>
      </w:r>
      <w:proofErr w:type="spellStart"/>
      <w:r w:rsidRPr="00F43E80">
        <w:rPr>
          <w:rFonts w:ascii="Times New Roman" w:hAnsi="Times New Roman" w:cs="Times New Roman"/>
          <w:i/>
          <w:iCs/>
          <w:sz w:val="20"/>
          <w:szCs w:val="20"/>
        </w:rPr>
        <w:t>Abahlali</w:t>
      </w:r>
      <w:proofErr w:type="spellEnd"/>
      <w:r w:rsidRPr="00F43E80">
        <w:rPr>
          <w:rFonts w:ascii="Times New Roman" w:hAnsi="Times New Roman" w:cs="Times New Roman"/>
          <w:i/>
          <w:iCs/>
          <w:sz w:val="20"/>
          <w:szCs w:val="20"/>
        </w:rPr>
        <w:t xml:space="preserve"> </w:t>
      </w:r>
      <w:proofErr w:type="spellStart"/>
      <w:r w:rsidRPr="00F43E80">
        <w:rPr>
          <w:rFonts w:ascii="Times New Roman" w:hAnsi="Times New Roman" w:cs="Times New Roman"/>
          <w:i/>
          <w:iCs/>
          <w:sz w:val="20"/>
          <w:szCs w:val="20"/>
        </w:rPr>
        <w:t>baseMjondolo</w:t>
      </w:r>
      <w:proofErr w:type="spellEnd"/>
      <w:r w:rsidRPr="00F43E80">
        <w:rPr>
          <w:rFonts w:ascii="Times New Roman" w:hAnsi="Times New Roman" w:cs="Times New Roman"/>
          <w:sz w:val="20"/>
          <w:szCs w:val="20"/>
        </w:rPr>
        <w:t xml:space="preserve">, the Constitutional Court underscored the need for engagement between the state and the unlawful occupiers during evictions and held that these engagements encompassed the reasonableness of state action under section 26(2) of the Constitution. In both cases, the Constitutional Court accorded the occupiers better protection under section 26(3) due to its focus on the substantive </w:t>
      </w:r>
      <w:r w:rsidRPr="00F43E80">
        <w:rPr>
          <w:rFonts w:ascii="Times New Roman" w:hAnsi="Times New Roman" w:cs="Times New Roman"/>
          <w:sz w:val="20"/>
          <w:szCs w:val="20"/>
        </w:rPr>
        <w:lastRenderedPageBreak/>
        <w:t xml:space="preserve">aspects of engagement. The transformative conceptualisation of meaningful engagement, in both </w:t>
      </w:r>
      <w:r w:rsidRPr="00F43E80">
        <w:rPr>
          <w:rFonts w:ascii="Times New Roman" w:hAnsi="Times New Roman" w:cs="Times New Roman"/>
          <w:i/>
          <w:iCs/>
          <w:sz w:val="20"/>
          <w:szCs w:val="20"/>
        </w:rPr>
        <w:t>Occupiers of 51 Olivia</w:t>
      </w:r>
      <w:r w:rsidRPr="00F43E80">
        <w:rPr>
          <w:rFonts w:ascii="Times New Roman" w:hAnsi="Times New Roman" w:cs="Times New Roman"/>
          <w:sz w:val="20"/>
          <w:szCs w:val="20"/>
        </w:rPr>
        <w:t xml:space="preserve"> and </w:t>
      </w:r>
      <w:proofErr w:type="spellStart"/>
      <w:r w:rsidRPr="00F43E80">
        <w:rPr>
          <w:rFonts w:ascii="Times New Roman" w:hAnsi="Times New Roman" w:cs="Times New Roman"/>
          <w:i/>
          <w:iCs/>
          <w:sz w:val="20"/>
          <w:szCs w:val="20"/>
        </w:rPr>
        <w:t>Abahlali</w:t>
      </w:r>
      <w:proofErr w:type="spellEnd"/>
      <w:r w:rsidRPr="00F43E80">
        <w:rPr>
          <w:rFonts w:ascii="Times New Roman" w:hAnsi="Times New Roman" w:cs="Times New Roman"/>
          <w:i/>
          <w:iCs/>
          <w:sz w:val="20"/>
          <w:szCs w:val="20"/>
        </w:rPr>
        <w:t xml:space="preserve"> </w:t>
      </w:r>
      <w:proofErr w:type="spellStart"/>
      <w:r w:rsidRPr="00F43E80">
        <w:rPr>
          <w:rFonts w:ascii="Times New Roman" w:hAnsi="Times New Roman" w:cs="Times New Roman"/>
          <w:i/>
          <w:iCs/>
          <w:sz w:val="20"/>
          <w:szCs w:val="20"/>
        </w:rPr>
        <w:t>baseMjondolo</w:t>
      </w:r>
      <w:proofErr w:type="spellEnd"/>
      <w:r w:rsidRPr="00F43E80">
        <w:rPr>
          <w:rFonts w:ascii="Times New Roman" w:hAnsi="Times New Roman" w:cs="Times New Roman"/>
          <w:sz w:val="20"/>
          <w:szCs w:val="20"/>
        </w:rPr>
        <w:t>, upheld the dignity of the unlawful occupiers.</w:t>
      </w:r>
    </w:p>
    <w:p w14:paraId="0BBCA6AA"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F527F0E" w14:textId="77777777" w:rsidR="009C0ACF" w:rsidRPr="00F43E80" w:rsidRDefault="009C0ACF" w:rsidP="00F43E80">
      <w:pPr>
        <w:tabs>
          <w:tab w:val="left" w:pos="284"/>
        </w:tabs>
        <w:ind w:right="33"/>
        <w:jc w:val="both"/>
        <w:rPr>
          <w:rFonts w:ascii="Times New Roman" w:hAnsi="Times New Roman" w:cs="Times New Roman"/>
          <w:b/>
          <w:bCs/>
          <w:iCs/>
          <w:sz w:val="20"/>
          <w:szCs w:val="20"/>
        </w:rPr>
      </w:pPr>
      <w:r w:rsidRPr="00F43E80">
        <w:rPr>
          <w:rFonts w:ascii="Times New Roman" w:hAnsi="Times New Roman" w:cs="Times New Roman"/>
          <w:b/>
          <w:bCs/>
          <w:iCs/>
          <w:sz w:val="20"/>
          <w:szCs w:val="20"/>
        </w:rPr>
        <w:t>4</w:t>
      </w:r>
      <w:r w:rsidRPr="00F43E80">
        <w:rPr>
          <w:rFonts w:ascii="Times New Roman" w:hAnsi="Times New Roman" w:cs="Times New Roman"/>
          <w:b/>
          <w:bCs/>
          <w:iCs/>
          <w:sz w:val="20"/>
          <w:szCs w:val="20"/>
        </w:rPr>
        <w:tab/>
        <w:t>THE REGRESSIVE CONCEPTUALISATION OF MEANINGFUL ENGAGEMENT BY THE CONSTITUTIONAL COURT</w:t>
      </w:r>
    </w:p>
    <w:p w14:paraId="7AE117DF" w14:textId="77777777" w:rsidR="009C0ACF" w:rsidRPr="00F43E80" w:rsidRDefault="009C0ACF" w:rsidP="00F43E80">
      <w:pPr>
        <w:tabs>
          <w:tab w:val="left" w:pos="284"/>
        </w:tabs>
        <w:ind w:right="33"/>
        <w:jc w:val="both"/>
        <w:rPr>
          <w:rFonts w:ascii="Times New Roman" w:hAnsi="Times New Roman" w:cs="Times New Roman"/>
          <w:i/>
          <w:sz w:val="20"/>
          <w:szCs w:val="20"/>
        </w:rPr>
      </w:pPr>
      <w:r w:rsidRPr="00F43E80">
        <w:rPr>
          <w:rFonts w:ascii="Times New Roman" w:hAnsi="Times New Roman" w:cs="Times New Roman"/>
          <w:sz w:val="20"/>
          <w:szCs w:val="20"/>
        </w:rPr>
        <w:t xml:space="preserve">The judgment in </w:t>
      </w:r>
      <w:r w:rsidRPr="00F43E80">
        <w:rPr>
          <w:rFonts w:ascii="Times New Roman" w:hAnsi="Times New Roman" w:cs="Times New Roman"/>
          <w:i/>
          <w:sz w:val="20"/>
          <w:szCs w:val="20"/>
        </w:rPr>
        <w:t xml:space="preserve">Residents of Joe </w:t>
      </w:r>
      <w:proofErr w:type="spellStart"/>
      <w:r w:rsidRPr="00F43E80">
        <w:rPr>
          <w:rFonts w:ascii="Times New Roman" w:hAnsi="Times New Roman" w:cs="Times New Roman"/>
          <w:i/>
          <w:sz w:val="20"/>
          <w:szCs w:val="20"/>
        </w:rPr>
        <w:t>Slovo</w:t>
      </w:r>
      <w:proofErr w:type="spellEnd"/>
      <w:r w:rsidRPr="00F43E80">
        <w:rPr>
          <w:rStyle w:val="FootnoteReference"/>
          <w:rFonts w:ascii="Times New Roman" w:hAnsi="Times New Roman" w:cs="Times New Roman"/>
          <w:iCs/>
          <w:sz w:val="20"/>
          <w:szCs w:val="20"/>
        </w:rPr>
        <w:footnoteReference w:id="49"/>
      </w:r>
      <w:r w:rsidRPr="00F43E80">
        <w:rPr>
          <w:rFonts w:ascii="Times New Roman" w:hAnsi="Times New Roman" w:cs="Times New Roman"/>
          <w:i/>
          <w:sz w:val="20"/>
          <w:szCs w:val="20"/>
        </w:rPr>
        <w:t xml:space="preserve"> </w:t>
      </w:r>
      <w:r w:rsidRPr="00F43E80">
        <w:rPr>
          <w:rFonts w:ascii="Times New Roman" w:hAnsi="Times New Roman" w:cs="Times New Roman"/>
          <w:iCs/>
          <w:sz w:val="20"/>
          <w:szCs w:val="20"/>
        </w:rPr>
        <w:t>marked</w:t>
      </w:r>
      <w:r w:rsidRPr="00F43E80">
        <w:rPr>
          <w:rFonts w:ascii="Times New Roman" w:hAnsi="Times New Roman" w:cs="Times New Roman"/>
          <w:sz w:val="20"/>
          <w:szCs w:val="20"/>
        </w:rPr>
        <w:t xml:space="preserve"> the beginning of a period of regressive conceptualisation of meaningful engagement. Notably, all five judgments delivered in </w:t>
      </w:r>
      <w:r w:rsidRPr="00F43E80">
        <w:rPr>
          <w:rFonts w:ascii="Times New Roman" w:hAnsi="Times New Roman" w:cs="Times New Roman"/>
          <w:i/>
          <w:sz w:val="20"/>
          <w:szCs w:val="20"/>
        </w:rPr>
        <w:t xml:space="preserve">Residents of Joe </w:t>
      </w:r>
      <w:proofErr w:type="spellStart"/>
      <w:r w:rsidRPr="00F43E80">
        <w:rPr>
          <w:rFonts w:ascii="Times New Roman" w:hAnsi="Times New Roman" w:cs="Times New Roman"/>
          <w:i/>
          <w:sz w:val="20"/>
          <w:szCs w:val="20"/>
        </w:rPr>
        <w:t>Slovo</w:t>
      </w:r>
      <w:proofErr w:type="spellEnd"/>
      <w:r w:rsidRPr="00F43E80">
        <w:rPr>
          <w:rFonts w:ascii="Times New Roman" w:hAnsi="Times New Roman" w:cs="Times New Roman"/>
          <w:sz w:val="20"/>
          <w:szCs w:val="20"/>
        </w:rPr>
        <w:t xml:space="preserve"> supported the order for eviction issued by the lower court, albeit on different grounds. A major point of contention among the judges revolved around whether the occupiers had been meaningfully engaged. </w:t>
      </w:r>
      <w:r w:rsidRPr="00F43E80">
        <w:rPr>
          <w:rFonts w:ascii="Times New Roman" w:hAnsi="Times New Roman" w:cs="Times New Roman"/>
          <w:i/>
          <w:sz w:val="20"/>
          <w:szCs w:val="20"/>
        </w:rPr>
        <w:t xml:space="preserve">Residents of Joe </w:t>
      </w:r>
      <w:proofErr w:type="spellStart"/>
      <w:r w:rsidRPr="00F43E80">
        <w:rPr>
          <w:rFonts w:ascii="Times New Roman" w:hAnsi="Times New Roman" w:cs="Times New Roman"/>
          <w:i/>
          <w:sz w:val="20"/>
          <w:szCs w:val="20"/>
        </w:rPr>
        <w:t>Slovo</w:t>
      </w:r>
      <w:proofErr w:type="spellEnd"/>
      <w:r w:rsidRPr="00F43E80">
        <w:rPr>
          <w:rFonts w:ascii="Times New Roman" w:hAnsi="Times New Roman" w:cs="Times New Roman"/>
          <w:sz w:val="20"/>
          <w:szCs w:val="20"/>
        </w:rPr>
        <w:t xml:space="preserve"> involved the eviction of more than 4,300 households that comprised more than 20,000 residents. The settlement began in the early 1990s on underdeveloped land owned by the City of Cape Town. During the early days of the settlement, apartheid police repeatedly and forcibly removed the occupants from the land and destroyed their accommodation and possessions.</w:t>
      </w:r>
      <w:r w:rsidRPr="00F43E80">
        <w:rPr>
          <w:rStyle w:val="FootnoteReference"/>
          <w:rFonts w:ascii="Times New Roman" w:hAnsi="Times New Roman" w:cs="Times New Roman"/>
          <w:sz w:val="20"/>
          <w:szCs w:val="20"/>
        </w:rPr>
        <w:footnoteReference w:id="50"/>
      </w:r>
      <w:r w:rsidRPr="00F43E80">
        <w:rPr>
          <w:rFonts w:ascii="Times New Roman" w:hAnsi="Times New Roman" w:cs="Times New Roman"/>
          <w:sz w:val="20"/>
          <w:szCs w:val="20"/>
        </w:rPr>
        <w:t xml:space="preserve"> Despite these challenges, the occupiers returned, defying all the odds and the persistent harassment.</w:t>
      </w:r>
    </w:p>
    <w:p w14:paraId="285DB369" w14:textId="77777777" w:rsidR="009C0ACF" w:rsidRPr="00F43E80" w:rsidRDefault="009C0ACF" w:rsidP="00F43E80">
      <w:pPr>
        <w:tabs>
          <w:tab w:val="left" w:pos="284"/>
        </w:tabs>
        <w:ind w:right="33"/>
        <w:jc w:val="both"/>
        <w:rPr>
          <w:rFonts w:ascii="Times New Roman" w:hAnsi="Times New Roman" w:cs="Times New Roman"/>
          <w:sz w:val="20"/>
          <w:szCs w:val="20"/>
        </w:rPr>
      </w:pPr>
    </w:p>
    <w:p w14:paraId="2DB87E1D"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During the democratic dispensation, the forced removals ceased. The </w:t>
      </w:r>
      <w:proofErr w:type="gramStart"/>
      <w:r w:rsidRPr="00F43E80">
        <w:rPr>
          <w:rFonts w:ascii="Times New Roman" w:hAnsi="Times New Roman" w:cs="Times New Roman"/>
          <w:sz w:val="20"/>
          <w:szCs w:val="20"/>
        </w:rPr>
        <w:t>City</w:t>
      </w:r>
      <w:proofErr w:type="gramEnd"/>
      <w:r w:rsidRPr="00F43E80">
        <w:rPr>
          <w:rFonts w:ascii="Times New Roman" w:hAnsi="Times New Roman" w:cs="Times New Roman"/>
          <w:sz w:val="20"/>
          <w:szCs w:val="20"/>
        </w:rPr>
        <w:t xml:space="preserve"> adopted a more humane approach towards the residents by providing basic services, such as water, container toilets, and basic cleaning services. These services were expanded after a fire in 2000 that engulfed the informal settlement and caused extensive destruction. In addition, each house was allocated a number. In 2005, another fire caused considerable damage in the area and left a huge proportion of the people homeless. After several meetings between the </w:t>
      </w:r>
      <w:proofErr w:type="gramStart"/>
      <w:r w:rsidRPr="00F43E80">
        <w:rPr>
          <w:rFonts w:ascii="Times New Roman" w:hAnsi="Times New Roman" w:cs="Times New Roman"/>
          <w:sz w:val="20"/>
          <w:szCs w:val="20"/>
        </w:rPr>
        <w:t>City</w:t>
      </w:r>
      <w:proofErr w:type="gramEnd"/>
      <w:r w:rsidRPr="00F43E80">
        <w:rPr>
          <w:rFonts w:ascii="Times New Roman" w:hAnsi="Times New Roman" w:cs="Times New Roman"/>
          <w:sz w:val="20"/>
          <w:szCs w:val="20"/>
        </w:rPr>
        <w:t xml:space="preserve"> and the residents of Joe Slovo, the </w:t>
      </w:r>
      <w:proofErr w:type="gramStart"/>
      <w:r w:rsidRPr="00F43E80">
        <w:rPr>
          <w:rFonts w:ascii="Times New Roman" w:hAnsi="Times New Roman" w:cs="Times New Roman"/>
          <w:sz w:val="20"/>
          <w:szCs w:val="20"/>
        </w:rPr>
        <w:t>City</w:t>
      </w:r>
      <w:proofErr w:type="gramEnd"/>
      <w:r w:rsidRPr="00F43E80">
        <w:rPr>
          <w:rFonts w:ascii="Times New Roman" w:hAnsi="Times New Roman" w:cs="Times New Roman"/>
          <w:sz w:val="20"/>
          <w:szCs w:val="20"/>
        </w:rPr>
        <w:t xml:space="preserve"> undertook to embark on an extensive housing project in Joe </w:t>
      </w:r>
      <w:proofErr w:type="spellStart"/>
      <w:r w:rsidRPr="00F43E80">
        <w:rPr>
          <w:rFonts w:ascii="Times New Roman" w:hAnsi="Times New Roman" w:cs="Times New Roman"/>
          <w:sz w:val="20"/>
          <w:szCs w:val="20"/>
        </w:rPr>
        <w:t>Slovo</w:t>
      </w:r>
      <w:proofErr w:type="spellEnd"/>
      <w:r w:rsidRPr="00F43E80">
        <w:rPr>
          <w:rFonts w:ascii="Times New Roman" w:hAnsi="Times New Roman" w:cs="Times New Roman"/>
          <w:sz w:val="20"/>
          <w:szCs w:val="20"/>
        </w:rPr>
        <w:t xml:space="preserve"> that was meant to serve as alternative accommodation. </w:t>
      </w:r>
    </w:p>
    <w:p w14:paraId="19CAF681" w14:textId="77777777" w:rsidR="009C0ACF" w:rsidRPr="00F43E80" w:rsidRDefault="009C0ACF" w:rsidP="00F43E80">
      <w:pPr>
        <w:tabs>
          <w:tab w:val="left" w:pos="284"/>
        </w:tabs>
        <w:ind w:right="33"/>
        <w:jc w:val="both"/>
        <w:rPr>
          <w:rFonts w:ascii="Times New Roman" w:hAnsi="Times New Roman" w:cs="Times New Roman"/>
          <w:sz w:val="20"/>
          <w:szCs w:val="20"/>
        </w:rPr>
      </w:pPr>
    </w:p>
    <w:p w14:paraId="1A5F6FC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project, named N2 Gateway, was officially and publicly launched in 2005. The community was kept informed about the project from its inception through discussions between the </w:t>
      </w:r>
      <w:proofErr w:type="gramStart"/>
      <w:r w:rsidRPr="00F43E80">
        <w:rPr>
          <w:rFonts w:ascii="Times New Roman" w:hAnsi="Times New Roman" w:cs="Times New Roman"/>
          <w:sz w:val="20"/>
          <w:szCs w:val="20"/>
        </w:rPr>
        <w:t>City</w:t>
      </w:r>
      <w:proofErr w:type="gramEnd"/>
      <w:r w:rsidRPr="00F43E80">
        <w:rPr>
          <w:rFonts w:ascii="Times New Roman" w:hAnsi="Times New Roman" w:cs="Times New Roman"/>
          <w:sz w:val="20"/>
          <w:szCs w:val="20"/>
        </w:rPr>
        <w:t xml:space="preserve"> and the representatives of the community. This was a three-phase development, and poor people were to be provided with subsidised low-rental accommodation in all three phases. The project was generally met with broad approval by the community, whose leaders were very enthusiastic about it. </w:t>
      </w:r>
    </w:p>
    <w:p w14:paraId="5A5018FB"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DDB406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w:t>
      </w:r>
      <w:proofErr w:type="gramStart"/>
      <w:r w:rsidRPr="00F43E80">
        <w:rPr>
          <w:rFonts w:ascii="Times New Roman" w:hAnsi="Times New Roman" w:cs="Times New Roman"/>
          <w:sz w:val="20"/>
          <w:szCs w:val="20"/>
        </w:rPr>
        <w:t>City</w:t>
      </w:r>
      <w:proofErr w:type="gramEnd"/>
      <w:r w:rsidRPr="00F43E80">
        <w:rPr>
          <w:rFonts w:ascii="Times New Roman" w:hAnsi="Times New Roman" w:cs="Times New Roman"/>
          <w:sz w:val="20"/>
          <w:szCs w:val="20"/>
        </w:rPr>
        <w:t xml:space="preserve"> identified Delft as alternative accommodation, and in 2006 to 2007 there were considerable efforts made to persuade the residents to relocate, but all these efforts failed. The relocation was to enable </w:t>
      </w:r>
      <w:proofErr w:type="spellStart"/>
      <w:r w:rsidRPr="00F43E80">
        <w:rPr>
          <w:rFonts w:ascii="Times New Roman" w:hAnsi="Times New Roman" w:cs="Times New Roman"/>
          <w:sz w:val="20"/>
          <w:szCs w:val="20"/>
        </w:rPr>
        <w:t>Thubelisha</w:t>
      </w:r>
      <w:proofErr w:type="spellEnd"/>
      <w:r w:rsidRPr="00F43E80">
        <w:rPr>
          <w:rFonts w:ascii="Times New Roman" w:hAnsi="Times New Roman" w:cs="Times New Roman"/>
          <w:sz w:val="20"/>
          <w:szCs w:val="20"/>
        </w:rPr>
        <w:t xml:space="preserve"> Homes to proceed with phase two of the project. The residents refused to move and argued that their enthusiasm had been deflated by the City’s “broken promises” on the rental amount, the 70 per cent allocation of the houses to the Joe </w:t>
      </w:r>
      <w:proofErr w:type="spellStart"/>
      <w:r w:rsidRPr="00F43E80">
        <w:rPr>
          <w:rFonts w:ascii="Times New Roman" w:hAnsi="Times New Roman" w:cs="Times New Roman"/>
          <w:sz w:val="20"/>
          <w:szCs w:val="20"/>
        </w:rPr>
        <w:t>Slovo</w:t>
      </w:r>
      <w:proofErr w:type="spellEnd"/>
      <w:r w:rsidRPr="00F43E80">
        <w:rPr>
          <w:rFonts w:ascii="Times New Roman" w:hAnsi="Times New Roman" w:cs="Times New Roman"/>
          <w:sz w:val="20"/>
          <w:szCs w:val="20"/>
        </w:rPr>
        <w:t xml:space="preserve"> residents, and the failure to engage.</w:t>
      </w:r>
      <w:r w:rsidRPr="00F43E80">
        <w:rPr>
          <w:rStyle w:val="FootnoteReference"/>
          <w:rFonts w:ascii="Times New Roman" w:hAnsi="Times New Roman" w:cs="Times New Roman"/>
          <w:sz w:val="20"/>
          <w:szCs w:val="20"/>
        </w:rPr>
        <w:footnoteReference w:id="51"/>
      </w:r>
      <w:r w:rsidRPr="00F43E80">
        <w:rPr>
          <w:rFonts w:ascii="Times New Roman" w:hAnsi="Times New Roman" w:cs="Times New Roman"/>
          <w:sz w:val="20"/>
          <w:szCs w:val="20"/>
        </w:rPr>
        <w:t xml:space="preserve"> This stalemate led to petitions and protest actions by the community and ultimately an application by the state to the Cape High Court for an eviction order. The High Court issued the order of eviction.</w:t>
      </w:r>
    </w:p>
    <w:p w14:paraId="6F42ACD8"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BEDDD37"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In the appeal to the Constitutional Court, there was a litany of issues raised by the residents contesting whether the state had made out a case for eviction in terms of the PIE Act. Issues in contention were whether the residents of Joe </w:t>
      </w:r>
      <w:proofErr w:type="spellStart"/>
      <w:r w:rsidRPr="00F43E80">
        <w:rPr>
          <w:rFonts w:ascii="Times New Roman" w:hAnsi="Times New Roman" w:cs="Times New Roman"/>
          <w:sz w:val="20"/>
          <w:szCs w:val="20"/>
        </w:rPr>
        <w:t>Slovo</w:t>
      </w:r>
      <w:proofErr w:type="spellEnd"/>
      <w:r w:rsidRPr="00F43E80">
        <w:rPr>
          <w:rFonts w:ascii="Times New Roman" w:hAnsi="Times New Roman" w:cs="Times New Roman"/>
          <w:sz w:val="20"/>
          <w:szCs w:val="20"/>
        </w:rPr>
        <w:t xml:space="preserve"> were unlawful occupiers, whether there </w:t>
      </w:r>
      <w:proofErr w:type="gramStart"/>
      <w:r w:rsidRPr="00F43E80">
        <w:rPr>
          <w:rFonts w:ascii="Times New Roman" w:hAnsi="Times New Roman" w:cs="Times New Roman"/>
          <w:sz w:val="20"/>
          <w:szCs w:val="20"/>
        </w:rPr>
        <w:t>was</w:t>
      </w:r>
      <w:proofErr w:type="gramEnd"/>
      <w:r w:rsidRPr="00F43E80">
        <w:rPr>
          <w:rFonts w:ascii="Times New Roman" w:hAnsi="Times New Roman" w:cs="Times New Roman"/>
          <w:sz w:val="20"/>
          <w:szCs w:val="20"/>
        </w:rPr>
        <w:t xml:space="preserve"> meaningful engagement and consent by the City for them to stay at Joe </w:t>
      </w:r>
      <w:proofErr w:type="spellStart"/>
      <w:r w:rsidRPr="00F43E80">
        <w:rPr>
          <w:rFonts w:ascii="Times New Roman" w:hAnsi="Times New Roman" w:cs="Times New Roman"/>
          <w:sz w:val="20"/>
          <w:szCs w:val="20"/>
        </w:rPr>
        <w:t>Slovo</w:t>
      </w:r>
      <w:proofErr w:type="spellEnd"/>
      <w:r w:rsidRPr="00F43E80">
        <w:rPr>
          <w:rFonts w:ascii="Times New Roman" w:hAnsi="Times New Roman" w:cs="Times New Roman"/>
          <w:sz w:val="20"/>
          <w:szCs w:val="20"/>
        </w:rPr>
        <w:t xml:space="preserve">, and whether the conduct of the state was reasonable. The Constitutional Court upheld the eviction order made by the High Court as just and equitable, but changed the terms of the High Court order. </w:t>
      </w:r>
    </w:p>
    <w:p w14:paraId="1F4C85D6"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5B72A26"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In considering the question of whether there was meaningful engagement, Yacoob J held that in its planning of the relocation, the state was alive to the requirements of the Constitution, the PIE Act, and international norms.</w:t>
      </w:r>
      <w:r w:rsidRPr="00F43E80">
        <w:rPr>
          <w:rStyle w:val="FootnoteReference"/>
          <w:rFonts w:ascii="Times New Roman" w:hAnsi="Times New Roman" w:cs="Times New Roman"/>
          <w:sz w:val="20"/>
          <w:szCs w:val="20"/>
        </w:rPr>
        <w:footnoteReference w:id="52"/>
      </w:r>
      <w:r w:rsidRPr="00F43E80">
        <w:rPr>
          <w:rFonts w:ascii="Times New Roman" w:hAnsi="Times New Roman" w:cs="Times New Roman"/>
          <w:sz w:val="20"/>
          <w:szCs w:val="20"/>
        </w:rPr>
        <w:t xml:space="preserve"> Focusing more on the procedural aspects of engagement, such as the convening of community meetings and consultations, Yacoob J suggested that the complaints about “broken promises and legitimate expectations” were unrelated to meaningful engagement, and that such issues could be taken into account in the terms of the eviction order to be issued by the Court for meaningful engagement. Consequently, Yacoob J then concludes that there was “reasonable engagement almost all the way”.</w:t>
      </w:r>
      <w:r w:rsidRPr="00F43E80">
        <w:rPr>
          <w:rStyle w:val="FootnoteReference"/>
          <w:rFonts w:ascii="Times New Roman" w:hAnsi="Times New Roman" w:cs="Times New Roman"/>
          <w:sz w:val="20"/>
          <w:szCs w:val="20"/>
        </w:rPr>
        <w:footnoteReference w:id="53"/>
      </w:r>
      <w:r w:rsidRPr="00F43E80">
        <w:rPr>
          <w:rFonts w:ascii="Times New Roman" w:hAnsi="Times New Roman" w:cs="Times New Roman"/>
          <w:sz w:val="20"/>
          <w:szCs w:val="20"/>
        </w:rPr>
        <w:t xml:space="preserve"> </w:t>
      </w:r>
    </w:p>
    <w:p w14:paraId="6ED8D19D" w14:textId="77777777" w:rsidR="009C0ACF" w:rsidRPr="00F43E80" w:rsidRDefault="009C0ACF" w:rsidP="00F43E80">
      <w:pPr>
        <w:tabs>
          <w:tab w:val="left" w:pos="284"/>
        </w:tabs>
        <w:ind w:right="33"/>
        <w:jc w:val="both"/>
        <w:rPr>
          <w:rFonts w:ascii="Times New Roman" w:hAnsi="Times New Roman" w:cs="Times New Roman"/>
          <w:sz w:val="20"/>
          <w:szCs w:val="20"/>
        </w:rPr>
      </w:pPr>
    </w:p>
    <w:p w14:paraId="0EEE5DC3"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In a separate judgment, Moseneke J specifically focused on the substantive requirements of meaningful engagement and held that, in considering what was just and equitable as required by PIE Act and the rights to human dignity and equality, there should be an account of the ability of the occupiers to engage meaningfully with equal participation of all concerned. This account required a “nuanced appreciation of the specific situation of each case”.</w:t>
      </w:r>
      <w:r w:rsidRPr="00F43E80">
        <w:rPr>
          <w:rStyle w:val="FootnoteReference"/>
          <w:rFonts w:ascii="Times New Roman" w:hAnsi="Times New Roman" w:cs="Times New Roman"/>
          <w:sz w:val="20"/>
          <w:szCs w:val="20"/>
        </w:rPr>
        <w:footnoteReference w:id="54"/>
      </w:r>
      <w:r w:rsidRPr="00F43E80">
        <w:rPr>
          <w:rFonts w:ascii="Times New Roman" w:hAnsi="Times New Roman" w:cs="Times New Roman"/>
          <w:sz w:val="20"/>
          <w:szCs w:val="20"/>
        </w:rPr>
        <w:t xml:space="preserve"> Viewing the facts of the case, he concluded that the government did not try to engage with the community at all, as the government openly admitted that it had not given formal notice to the residents before the urgent eviction application. According to Moseneke J, the High </w:t>
      </w:r>
      <w:r w:rsidRPr="00F43E80">
        <w:rPr>
          <w:rFonts w:ascii="Times New Roman" w:hAnsi="Times New Roman" w:cs="Times New Roman"/>
          <w:sz w:val="20"/>
          <w:szCs w:val="20"/>
        </w:rPr>
        <w:lastRenderedPageBreak/>
        <w:t>Court had failed to take into consideration the lack of engagement before it issued an eviction order. As a result, the High Court had also failed to take into consideration the circumstances of the residents, such as the historical context relevant to the occupation, the period for which and the circumstances under which the land was occupied, the hardship to be suffered as a consequence of the eviction order, and the alternative of an upgrade of the informal settlement without evicting the residents.</w:t>
      </w:r>
      <w:r w:rsidRPr="00F43E80">
        <w:rPr>
          <w:rStyle w:val="FootnoteReference"/>
          <w:rFonts w:ascii="Times New Roman" w:hAnsi="Times New Roman" w:cs="Times New Roman"/>
          <w:sz w:val="20"/>
          <w:szCs w:val="20"/>
        </w:rPr>
        <w:footnoteReference w:id="55"/>
      </w:r>
    </w:p>
    <w:p w14:paraId="698FC0B4"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AE0A271"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Moseneke J further held that due to the failure to engage meaningfully, the relocation of the residents was not a preferred approach, but that did not mean it was unreasonable.</w:t>
      </w:r>
      <w:r w:rsidRPr="00F43E80">
        <w:rPr>
          <w:rStyle w:val="FootnoteReference"/>
          <w:rFonts w:ascii="Times New Roman" w:hAnsi="Times New Roman" w:cs="Times New Roman"/>
          <w:sz w:val="20"/>
          <w:szCs w:val="20"/>
        </w:rPr>
        <w:footnoteReference w:id="56"/>
      </w:r>
      <w:r w:rsidRPr="00F43E80">
        <w:rPr>
          <w:rFonts w:ascii="Times New Roman" w:hAnsi="Times New Roman" w:cs="Times New Roman"/>
          <w:sz w:val="20"/>
          <w:szCs w:val="20"/>
        </w:rPr>
        <w:t xml:space="preserve"> Accordingly, Moseneke J concluded that a judgment by the Constitutional Court that upholds the eviction order of the High Court with altered terms, which included an order for meaningful engagement and an undertaking that at least 70 per cent of the erected housing units would be allocated to the applicants, would mitigate the unjustness of the failure to engage and the intrusion on human dignity and equality by offering a “rock hard promise of adequate housing and restored human dignity”.</w:t>
      </w:r>
      <w:r w:rsidRPr="00F43E80">
        <w:rPr>
          <w:rStyle w:val="FootnoteReference"/>
          <w:rFonts w:ascii="Times New Roman" w:hAnsi="Times New Roman" w:cs="Times New Roman"/>
          <w:sz w:val="20"/>
          <w:szCs w:val="20"/>
        </w:rPr>
        <w:footnoteReference w:id="57"/>
      </w:r>
      <w:r w:rsidRPr="00F43E80">
        <w:rPr>
          <w:rFonts w:ascii="Times New Roman" w:hAnsi="Times New Roman" w:cs="Times New Roman"/>
          <w:sz w:val="20"/>
          <w:szCs w:val="20"/>
        </w:rPr>
        <w:t xml:space="preserve"> The inference drawn from the judgment of Moseneke J was that the lack or failure to engage may be remedied after the eviction order by issuing terms that would be favourable to the occupiers.</w:t>
      </w:r>
    </w:p>
    <w:p w14:paraId="26C495DB"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EB5AD00"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For Ngcobo J, meaningful engagement during evictions entailed finding a mutually acceptable solution to addressing the difficult challenges inherited from apartheid.</w:t>
      </w:r>
      <w:r w:rsidRPr="00F43E80">
        <w:rPr>
          <w:rStyle w:val="FootnoteReference"/>
          <w:rFonts w:ascii="Times New Roman" w:hAnsi="Times New Roman" w:cs="Times New Roman"/>
          <w:sz w:val="20"/>
          <w:szCs w:val="20"/>
        </w:rPr>
        <w:footnoteReference w:id="58"/>
      </w:r>
      <w:r w:rsidRPr="00F43E80">
        <w:rPr>
          <w:rFonts w:ascii="Times New Roman" w:hAnsi="Times New Roman" w:cs="Times New Roman"/>
          <w:sz w:val="20"/>
          <w:szCs w:val="20"/>
        </w:rPr>
        <w:t xml:space="preserve"> He indicated the difficulty of ascertaining the nature and extent of the engagement that occurred from the papers presented to the Court. Nevertheless, he bemoaned the lack of compliance with the requirement of structured and coordinated engagement between the residents, the City, </w:t>
      </w:r>
      <w:proofErr w:type="spellStart"/>
      <w:r w:rsidRPr="00F43E80">
        <w:rPr>
          <w:rFonts w:ascii="Times New Roman" w:hAnsi="Times New Roman" w:cs="Times New Roman"/>
          <w:sz w:val="20"/>
          <w:szCs w:val="20"/>
        </w:rPr>
        <w:t>Thubelisha</w:t>
      </w:r>
      <w:proofErr w:type="spellEnd"/>
      <w:r w:rsidRPr="00F43E80">
        <w:rPr>
          <w:rFonts w:ascii="Times New Roman" w:hAnsi="Times New Roman" w:cs="Times New Roman"/>
          <w:sz w:val="20"/>
          <w:szCs w:val="20"/>
        </w:rPr>
        <w:t xml:space="preserve"> Housing, and the Provincial and National Governments.</w:t>
      </w:r>
      <w:r w:rsidRPr="00F43E80">
        <w:rPr>
          <w:rStyle w:val="FootnoteReference"/>
          <w:rFonts w:ascii="Times New Roman" w:hAnsi="Times New Roman" w:cs="Times New Roman"/>
          <w:sz w:val="20"/>
          <w:szCs w:val="20"/>
        </w:rPr>
        <w:footnoteReference w:id="59"/>
      </w:r>
      <w:r w:rsidRPr="00F43E80">
        <w:rPr>
          <w:rFonts w:ascii="Times New Roman" w:hAnsi="Times New Roman" w:cs="Times New Roman"/>
          <w:sz w:val="20"/>
          <w:szCs w:val="20"/>
        </w:rPr>
        <w:t xml:space="preserve"> In the same vein, he emphasised the importance of trust during the engagement process, as the absence thereof generated confusion and misunderstanding.</w:t>
      </w:r>
    </w:p>
    <w:p w14:paraId="7ABACCE9" w14:textId="77777777" w:rsidR="009C0ACF" w:rsidRPr="00F43E80" w:rsidRDefault="009C0ACF" w:rsidP="00F43E80">
      <w:pPr>
        <w:tabs>
          <w:tab w:val="left" w:pos="284"/>
        </w:tabs>
        <w:ind w:right="33"/>
        <w:jc w:val="both"/>
        <w:rPr>
          <w:rFonts w:ascii="Times New Roman" w:hAnsi="Times New Roman" w:cs="Times New Roman"/>
          <w:sz w:val="20"/>
          <w:szCs w:val="20"/>
        </w:rPr>
      </w:pPr>
    </w:p>
    <w:p w14:paraId="6B5406C5"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Ngcobo J further held that the string of community meetings convened by the Executive Mayor to inform the residents about the N2 project was not enough for meaningful engagement, as it required the residents to be engaged both individually and collectively in a democratic manner.</w:t>
      </w:r>
      <w:r w:rsidRPr="00F43E80">
        <w:rPr>
          <w:rStyle w:val="FootnoteReference"/>
          <w:rFonts w:ascii="Times New Roman" w:hAnsi="Times New Roman" w:cs="Times New Roman"/>
          <w:sz w:val="20"/>
          <w:szCs w:val="20"/>
        </w:rPr>
        <w:footnoteReference w:id="60"/>
      </w:r>
      <w:r w:rsidRPr="00F43E80">
        <w:rPr>
          <w:rFonts w:ascii="Times New Roman" w:hAnsi="Times New Roman" w:cs="Times New Roman"/>
          <w:sz w:val="20"/>
          <w:szCs w:val="20"/>
        </w:rPr>
        <w:t xml:space="preserve"> He highlighted that residents in informal settlements were often dependent on fragile networks to ensure livelihoods, and therefore a guiding principle for evictions should be the building and preservation of “community cohesion”.</w:t>
      </w:r>
      <w:r w:rsidRPr="00F43E80">
        <w:rPr>
          <w:rStyle w:val="FootnoteReference"/>
          <w:rFonts w:ascii="Times New Roman" w:hAnsi="Times New Roman" w:cs="Times New Roman"/>
          <w:sz w:val="20"/>
          <w:szCs w:val="20"/>
        </w:rPr>
        <w:footnoteReference w:id="61"/>
      </w:r>
      <w:r w:rsidRPr="00F43E80">
        <w:rPr>
          <w:rFonts w:ascii="Times New Roman" w:hAnsi="Times New Roman" w:cs="Times New Roman"/>
          <w:sz w:val="20"/>
          <w:szCs w:val="20"/>
        </w:rPr>
        <w:t xml:space="preserve"> Therefore, meaningful engagement was also meant to discourage conflict and fragmentation of already vulnerable informal communities.</w:t>
      </w:r>
      <w:r w:rsidRPr="00F43E80">
        <w:rPr>
          <w:rStyle w:val="FootnoteReference"/>
          <w:rFonts w:ascii="Times New Roman" w:hAnsi="Times New Roman" w:cs="Times New Roman"/>
          <w:sz w:val="20"/>
          <w:szCs w:val="20"/>
        </w:rPr>
        <w:footnoteReference w:id="62"/>
      </w:r>
      <w:r w:rsidRPr="00F43E80">
        <w:rPr>
          <w:rFonts w:ascii="Times New Roman" w:hAnsi="Times New Roman" w:cs="Times New Roman"/>
          <w:sz w:val="20"/>
          <w:szCs w:val="20"/>
        </w:rPr>
        <w:t xml:space="preserve"> The approach by Ngcobo J emphasised both the procedural and substantive requirements of meaningful engagement.</w:t>
      </w:r>
    </w:p>
    <w:p w14:paraId="1194A4C9" w14:textId="77777777" w:rsidR="009C0ACF" w:rsidRPr="00F43E80" w:rsidRDefault="009C0ACF" w:rsidP="00F43E80">
      <w:pPr>
        <w:tabs>
          <w:tab w:val="left" w:pos="284"/>
        </w:tabs>
        <w:ind w:right="33"/>
        <w:jc w:val="both"/>
        <w:rPr>
          <w:rFonts w:ascii="Times New Roman" w:hAnsi="Times New Roman" w:cs="Times New Roman"/>
          <w:sz w:val="20"/>
          <w:szCs w:val="20"/>
        </w:rPr>
      </w:pPr>
    </w:p>
    <w:p w14:paraId="0E82782F"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Notwithstanding the absence of meaningful engagement, Ngcobo J upheld the eviction order for the following reasons: the residents failed to challenge the reasonableness of the N2 Gateway project; thousands had relocated already and were waiting for their permanent houses; the commitment to allocate 70 per cent of the houses to the qualifying residents of Joe Slovo; the provision of transport for children to attend school in Langa; and the commitment to build permanent houses in Delft for Joe </w:t>
      </w:r>
      <w:proofErr w:type="spellStart"/>
      <w:r w:rsidRPr="00F43E80">
        <w:rPr>
          <w:rFonts w:ascii="Times New Roman" w:hAnsi="Times New Roman" w:cs="Times New Roman"/>
          <w:sz w:val="20"/>
          <w:szCs w:val="20"/>
        </w:rPr>
        <w:t>Slovo</w:t>
      </w:r>
      <w:proofErr w:type="spellEnd"/>
      <w:r w:rsidRPr="00F43E80">
        <w:rPr>
          <w:rFonts w:ascii="Times New Roman" w:hAnsi="Times New Roman" w:cs="Times New Roman"/>
          <w:sz w:val="20"/>
          <w:szCs w:val="20"/>
        </w:rPr>
        <w:t xml:space="preserve"> residents who would not get houses from the allocated 70 per cent. Considering all these circumstances, Ngcobo J was of the view that the potential hardship of the residents was substantially ameliorated in accordance with justice and equity. He then added terms to the eviction order for meaningful engagement, which had to be individualised, during the relocation.</w:t>
      </w:r>
    </w:p>
    <w:p w14:paraId="3E49494A" w14:textId="77777777" w:rsidR="009C0ACF" w:rsidRPr="00F43E80" w:rsidRDefault="009C0ACF" w:rsidP="00F43E80">
      <w:pPr>
        <w:tabs>
          <w:tab w:val="left" w:pos="284"/>
        </w:tabs>
        <w:ind w:right="33"/>
        <w:jc w:val="both"/>
        <w:rPr>
          <w:rFonts w:ascii="Times New Roman" w:hAnsi="Times New Roman" w:cs="Times New Roman"/>
          <w:sz w:val="20"/>
          <w:szCs w:val="20"/>
        </w:rPr>
      </w:pPr>
    </w:p>
    <w:p w14:paraId="1C8D67CA"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In her judgment, </w:t>
      </w:r>
      <w:proofErr w:type="spellStart"/>
      <w:r w:rsidRPr="00F43E80">
        <w:rPr>
          <w:rFonts w:ascii="Times New Roman" w:hAnsi="Times New Roman" w:cs="Times New Roman"/>
          <w:sz w:val="20"/>
          <w:szCs w:val="20"/>
        </w:rPr>
        <w:t>O’Reagan</w:t>
      </w:r>
      <w:proofErr w:type="spellEnd"/>
      <w:r w:rsidRPr="00F43E80">
        <w:rPr>
          <w:rFonts w:ascii="Times New Roman" w:hAnsi="Times New Roman" w:cs="Times New Roman"/>
          <w:sz w:val="20"/>
          <w:szCs w:val="20"/>
        </w:rPr>
        <w:t xml:space="preserve"> J emphasises the PIE Act and the rights to human dignity and equality. She deplored the lack of meaningful engagement between the residents and the state. Emphasising the substantive aspects of meaningful engagement, </w:t>
      </w:r>
      <w:proofErr w:type="spellStart"/>
      <w:r w:rsidRPr="00F43E80">
        <w:rPr>
          <w:rFonts w:ascii="Times New Roman" w:hAnsi="Times New Roman" w:cs="Times New Roman"/>
          <w:sz w:val="20"/>
          <w:szCs w:val="20"/>
        </w:rPr>
        <w:t>O’Reagan</w:t>
      </w:r>
      <w:proofErr w:type="spellEnd"/>
      <w:r w:rsidRPr="00F43E80">
        <w:rPr>
          <w:rFonts w:ascii="Times New Roman" w:hAnsi="Times New Roman" w:cs="Times New Roman"/>
          <w:sz w:val="20"/>
          <w:szCs w:val="20"/>
        </w:rPr>
        <w:t xml:space="preserve"> J held that public meetings and meetings with the committees representing the residents were not adequate to engage fully and meaningfully with the residents, but that the capacity of the community to engage meaningfully must be developed.</w:t>
      </w:r>
      <w:r w:rsidRPr="00F43E80">
        <w:rPr>
          <w:rStyle w:val="FootnoteReference"/>
          <w:rFonts w:ascii="Times New Roman" w:hAnsi="Times New Roman" w:cs="Times New Roman"/>
          <w:sz w:val="20"/>
          <w:szCs w:val="20"/>
        </w:rPr>
        <w:footnoteReference w:id="63"/>
      </w:r>
      <w:r w:rsidRPr="00F43E80">
        <w:rPr>
          <w:rFonts w:ascii="Times New Roman" w:hAnsi="Times New Roman" w:cs="Times New Roman"/>
          <w:sz w:val="20"/>
          <w:szCs w:val="20"/>
        </w:rPr>
        <w:t xml:space="preserve"> Importantly, she observed that such large eviction and relocation processes required a “coherent or comprehensive and meaningful strategy of engagement”.</w:t>
      </w:r>
      <w:r w:rsidRPr="00F43E80">
        <w:rPr>
          <w:rStyle w:val="FootnoteReference"/>
          <w:rFonts w:ascii="Times New Roman" w:hAnsi="Times New Roman" w:cs="Times New Roman"/>
          <w:sz w:val="20"/>
          <w:szCs w:val="20"/>
        </w:rPr>
        <w:footnoteReference w:id="64"/>
      </w:r>
      <w:r w:rsidRPr="00F43E80">
        <w:rPr>
          <w:rFonts w:ascii="Times New Roman" w:hAnsi="Times New Roman" w:cs="Times New Roman"/>
          <w:sz w:val="20"/>
          <w:szCs w:val="20"/>
        </w:rPr>
        <w:t xml:space="preserve"> Despite this observation, she held that the lack of an adequate and coherent process of engagement did not render the implementation of the N2 Gateway project unreasonable. </w:t>
      </w:r>
      <w:proofErr w:type="spellStart"/>
      <w:r w:rsidRPr="00F43E80">
        <w:rPr>
          <w:rFonts w:ascii="Times New Roman" w:hAnsi="Times New Roman" w:cs="Times New Roman"/>
          <w:sz w:val="20"/>
          <w:szCs w:val="20"/>
        </w:rPr>
        <w:t>O’Reagan</w:t>
      </w:r>
      <w:proofErr w:type="spellEnd"/>
      <w:r w:rsidRPr="00F43E80">
        <w:rPr>
          <w:rFonts w:ascii="Times New Roman" w:hAnsi="Times New Roman" w:cs="Times New Roman"/>
          <w:sz w:val="20"/>
          <w:szCs w:val="20"/>
        </w:rPr>
        <w:t xml:space="preserve"> J based her conclusion on four factors. First, the project was a pilot and therefore could not be implemented without controversy.</w:t>
      </w:r>
      <w:r w:rsidRPr="00F43E80">
        <w:rPr>
          <w:rStyle w:val="FootnoteReference"/>
          <w:rFonts w:ascii="Times New Roman" w:hAnsi="Times New Roman" w:cs="Times New Roman"/>
          <w:sz w:val="20"/>
          <w:szCs w:val="20"/>
        </w:rPr>
        <w:footnoteReference w:id="65"/>
      </w:r>
      <w:r w:rsidRPr="00F43E80">
        <w:rPr>
          <w:rFonts w:ascii="Times New Roman" w:hAnsi="Times New Roman" w:cs="Times New Roman"/>
          <w:sz w:val="20"/>
          <w:szCs w:val="20"/>
        </w:rPr>
        <w:t xml:space="preserve"> Secondly, there was some engagement with the applicants, although it was not as </w:t>
      </w:r>
      <w:r w:rsidRPr="00F43E80">
        <w:rPr>
          <w:rFonts w:ascii="Times New Roman" w:hAnsi="Times New Roman" w:cs="Times New Roman"/>
          <w:sz w:val="20"/>
          <w:szCs w:val="20"/>
        </w:rPr>
        <w:lastRenderedPageBreak/>
        <w:t>coherent and comprehensive as required.</w:t>
      </w:r>
      <w:r w:rsidRPr="00F43E80">
        <w:rPr>
          <w:rStyle w:val="FootnoteReference"/>
          <w:rFonts w:ascii="Times New Roman" w:hAnsi="Times New Roman" w:cs="Times New Roman"/>
          <w:sz w:val="20"/>
          <w:szCs w:val="20"/>
        </w:rPr>
        <w:footnoteReference w:id="66"/>
      </w:r>
      <w:r w:rsidRPr="00F43E80">
        <w:rPr>
          <w:rFonts w:ascii="Times New Roman" w:hAnsi="Times New Roman" w:cs="Times New Roman"/>
          <w:sz w:val="20"/>
          <w:szCs w:val="20"/>
        </w:rPr>
        <w:t xml:space="preserve"> Thirdly, it was not only the residents who were party to the litigation that were affected by the plan, but also thousands of other households that had already relocated and were not represented in the case.</w:t>
      </w:r>
      <w:r w:rsidRPr="00F43E80">
        <w:rPr>
          <w:rStyle w:val="FootnoteReference"/>
          <w:rFonts w:ascii="Times New Roman" w:hAnsi="Times New Roman" w:cs="Times New Roman"/>
          <w:sz w:val="20"/>
          <w:szCs w:val="20"/>
        </w:rPr>
        <w:footnoteReference w:id="67"/>
      </w:r>
      <w:r w:rsidRPr="00F43E80">
        <w:rPr>
          <w:rFonts w:ascii="Times New Roman" w:hAnsi="Times New Roman" w:cs="Times New Roman"/>
          <w:sz w:val="20"/>
          <w:szCs w:val="20"/>
        </w:rPr>
        <w:t xml:space="preserve"> Lastly, the terms of the order for eviction would seek to remedy the failure of the government to engage meaningfully. </w:t>
      </w:r>
    </w:p>
    <w:p w14:paraId="77D363EE" w14:textId="77777777" w:rsidR="009C0ACF" w:rsidRPr="00F43E80" w:rsidRDefault="009C0ACF" w:rsidP="00F43E80">
      <w:pPr>
        <w:tabs>
          <w:tab w:val="left" w:pos="284"/>
        </w:tabs>
        <w:ind w:right="33"/>
        <w:jc w:val="both"/>
        <w:rPr>
          <w:rFonts w:ascii="Times New Roman" w:hAnsi="Times New Roman" w:cs="Times New Roman"/>
          <w:sz w:val="20"/>
          <w:szCs w:val="20"/>
        </w:rPr>
      </w:pPr>
    </w:p>
    <w:p w14:paraId="03ADA07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Sachs J held that meaningful engagement was vital for human dignity and equality and the PIE Act.</w:t>
      </w:r>
      <w:r w:rsidRPr="00F43E80">
        <w:rPr>
          <w:rStyle w:val="FootnoteReference"/>
          <w:rFonts w:ascii="Times New Roman" w:hAnsi="Times New Roman" w:cs="Times New Roman"/>
          <w:sz w:val="20"/>
          <w:szCs w:val="20"/>
        </w:rPr>
        <w:footnoteReference w:id="68"/>
      </w:r>
      <w:r w:rsidRPr="00F43E80">
        <w:rPr>
          <w:rFonts w:ascii="Times New Roman" w:hAnsi="Times New Roman" w:cs="Times New Roman"/>
          <w:sz w:val="20"/>
          <w:szCs w:val="20"/>
        </w:rPr>
        <w:t xml:space="preserve"> He acknowledged the inadequacies in the mode of communication, but held that it cannot be said that there was no meaningful engagement at all.</w:t>
      </w:r>
      <w:r w:rsidRPr="00F43E80">
        <w:rPr>
          <w:rStyle w:val="FootnoteReference"/>
          <w:rFonts w:ascii="Times New Roman" w:hAnsi="Times New Roman" w:cs="Times New Roman"/>
          <w:sz w:val="20"/>
          <w:szCs w:val="20"/>
        </w:rPr>
        <w:footnoteReference w:id="69"/>
      </w:r>
      <w:r w:rsidRPr="00F43E80">
        <w:rPr>
          <w:rFonts w:ascii="Times New Roman" w:hAnsi="Times New Roman" w:cs="Times New Roman"/>
          <w:sz w:val="20"/>
          <w:szCs w:val="20"/>
        </w:rPr>
        <w:t xml:space="preserve"> Putting greater emphasis on the procedural aspects of engagement, he held that there was a “surplus of engagement rather than a deficit of engagement”.</w:t>
      </w:r>
      <w:r w:rsidRPr="00F43E80">
        <w:rPr>
          <w:rStyle w:val="FootnoteReference"/>
          <w:rFonts w:ascii="Times New Roman" w:hAnsi="Times New Roman" w:cs="Times New Roman"/>
          <w:sz w:val="20"/>
          <w:szCs w:val="20"/>
        </w:rPr>
        <w:footnoteReference w:id="70"/>
      </w:r>
      <w:r w:rsidRPr="00F43E80">
        <w:rPr>
          <w:rFonts w:ascii="Times New Roman" w:hAnsi="Times New Roman" w:cs="Times New Roman"/>
          <w:sz w:val="20"/>
          <w:szCs w:val="20"/>
        </w:rPr>
        <w:t xml:space="preserve"> He based this purely on the number of meetings that took place and were addressed by the Executive Mayor and the municipal officials responsible for housing. Sachs J acknowledged that towards the end there appeared to have been serious inadequacies in the engagement but asserted that what mattered was the overall adequacy of the scheme as it unfolded.</w:t>
      </w:r>
      <w:r w:rsidRPr="00F43E80">
        <w:rPr>
          <w:rStyle w:val="FootnoteReference"/>
          <w:rFonts w:ascii="Times New Roman" w:hAnsi="Times New Roman" w:cs="Times New Roman"/>
          <w:sz w:val="20"/>
          <w:szCs w:val="20"/>
        </w:rPr>
        <w:footnoteReference w:id="71"/>
      </w:r>
      <w:r w:rsidRPr="00F43E80">
        <w:rPr>
          <w:rFonts w:ascii="Times New Roman" w:hAnsi="Times New Roman" w:cs="Times New Roman"/>
          <w:sz w:val="20"/>
          <w:szCs w:val="20"/>
        </w:rPr>
        <w:t xml:space="preserve"> The application of meaningful engagement in </w:t>
      </w:r>
      <w:r w:rsidRPr="00F43E80">
        <w:rPr>
          <w:rFonts w:ascii="Times New Roman" w:hAnsi="Times New Roman" w:cs="Times New Roman"/>
          <w:i/>
          <w:sz w:val="20"/>
          <w:szCs w:val="20"/>
        </w:rPr>
        <w:t xml:space="preserve">Residents of Joe </w:t>
      </w:r>
      <w:proofErr w:type="spellStart"/>
      <w:r w:rsidRPr="00F43E80">
        <w:rPr>
          <w:rFonts w:ascii="Times New Roman" w:hAnsi="Times New Roman" w:cs="Times New Roman"/>
          <w:i/>
          <w:sz w:val="20"/>
          <w:szCs w:val="20"/>
        </w:rPr>
        <w:t>Slovo</w:t>
      </w:r>
      <w:proofErr w:type="spellEnd"/>
      <w:r w:rsidRPr="00F43E80">
        <w:rPr>
          <w:rFonts w:ascii="Times New Roman" w:hAnsi="Times New Roman" w:cs="Times New Roman"/>
          <w:sz w:val="20"/>
          <w:szCs w:val="20"/>
        </w:rPr>
        <w:t xml:space="preserve"> was regressive as more emphasis was placed on procedural aspects of eviction than substantive ones. </w:t>
      </w:r>
    </w:p>
    <w:p w14:paraId="36F1CA93" w14:textId="77777777" w:rsidR="009C0ACF" w:rsidRPr="00F43E80" w:rsidRDefault="009C0ACF" w:rsidP="00F43E80">
      <w:pPr>
        <w:tabs>
          <w:tab w:val="left" w:pos="284"/>
        </w:tabs>
        <w:ind w:right="33"/>
        <w:jc w:val="both"/>
        <w:rPr>
          <w:rFonts w:ascii="Times New Roman" w:hAnsi="Times New Roman" w:cs="Times New Roman"/>
          <w:sz w:val="20"/>
          <w:szCs w:val="20"/>
        </w:rPr>
      </w:pPr>
    </w:p>
    <w:p w14:paraId="74F53EF8"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The </w:t>
      </w:r>
      <w:r w:rsidRPr="00F43E80">
        <w:rPr>
          <w:rFonts w:ascii="Times New Roman" w:hAnsi="Times New Roman" w:cs="Times New Roman"/>
          <w:i/>
          <w:sz w:val="20"/>
          <w:szCs w:val="20"/>
        </w:rPr>
        <w:t xml:space="preserve">Residents of Joe </w:t>
      </w:r>
      <w:proofErr w:type="spellStart"/>
      <w:r w:rsidRPr="00F43E80">
        <w:rPr>
          <w:rFonts w:ascii="Times New Roman" w:hAnsi="Times New Roman" w:cs="Times New Roman"/>
          <w:i/>
          <w:sz w:val="20"/>
          <w:szCs w:val="20"/>
        </w:rPr>
        <w:t>Slovo</w:t>
      </w:r>
      <w:proofErr w:type="spellEnd"/>
      <w:r w:rsidRPr="00F43E80">
        <w:rPr>
          <w:rFonts w:ascii="Times New Roman" w:hAnsi="Times New Roman" w:cs="Times New Roman"/>
          <w:sz w:val="20"/>
          <w:szCs w:val="20"/>
        </w:rPr>
        <w:t xml:space="preserve"> regressive approach was also witnessed in </w:t>
      </w:r>
      <w:r w:rsidRPr="00F43E80">
        <w:rPr>
          <w:rFonts w:ascii="Times New Roman" w:hAnsi="Times New Roman" w:cs="Times New Roman"/>
          <w:i/>
          <w:sz w:val="20"/>
          <w:szCs w:val="20"/>
        </w:rPr>
        <w:t xml:space="preserve">Occupiers of </w:t>
      </w:r>
      <w:proofErr w:type="spellStart"/>
      <w:r w:rsidRPr="00F43E80">
        <w:rPr>
          <w:rFonts w:ascii="Times New Roman" w:hAnsi="Times New Roman" w:cs="Times New Roman"/>
          <w:i/>
          <w:sz w:val="20"/>
          <w:szCs w:val="20"/>
        </w:rPr>
        <w:t>Skurweplaas</w:t>
      </w:r>
      <w:proofErr w:type="spellEnd"/>
      <w:r w:rsidRPr="00F43E80">
        <w:rPr>
          <w:rFonts w:ascii="Times New Roman" w:hAnsi="Times New Roman" w:cs="Times New Roman"/>
          <w:sz w:val="20"/>
          <w:szCs w:val="20"/>
        </w:rPr>
        <w:t>, which comprised about 200 households. The occupiers appealed to the Constitutional Court against an order of the North Gauteng High Court that would permit PPC Aggregate to evict them before alternative accommodation was made available.</w:t>
      </w:r>
      <w:r w:rsidRPr="00F43E80">
        <w:rPr>
          <w:rStyle w:val="FootnoteReference"/>
          <w:rFonts w:ascii="Times New Roman" w:hAnsi="Times New Roman" w:cs="Times New Roman"/>
          <w:sz w:val="20"/>
          <w:szCs w:val="20"/>
        </w:rPr>
        <w:footnoteReference w:id="72"/>
      </w:r>
      <w:r w:rsidRPr="00F43E80">
        <w:rPr>
          <w:rFonts w:ascii="Times New Roman" w:hAnsi="Times New Roman" w:cs="Times New Roman"/>
          <w:sz w:val="20"/>
          <w:szCs w:val="20"/>
        </w:rPr>
        <w:t xml:space="preserve"> The occupiers argued that such an order would render them homeless and that the eviction should be premised on the availability of alternative accommodation. They further argued that there was no meaningful engagement.</w:t>
      </w:r>
      <w:r w:rsidRPr="00F43E80">
        <w:rPr>
          <w:rStyle w:val="FootnoteReference"/>
          <w:rFonts w:ascii="Times New Roman" w:hAnsi="Times New Roman" w:cs="Times New Roman"/>
          <w:sz w:val="20"/>
          <w:szCs w:val="20"/>
        </w:rPr>
        <w:footnoteReference w:id="73"/>
      </w:r>
      <w:r w:rsidRPr="00F43E80">
        <w:rPr>
          <w:rFonts w:ascii="Times New Roman" w:hAnsi="Times New Roman" w:cs="Times New Roman"/>
          <w:sz w:val="20"/>
          <w:szCs w:val="20"/>
        </w:rPr>
        <w:t xml:space="preserve"> In a unanimous judgment by Yacoob J, the Constitutional Court acknowledged the inadequate engagement between the occupiers and the City of Tshwane and held that it would be just and equitable if occupiers were required to move off the land one month after the City of Tshwane had made the alternative accommodation available.</w:t>
      </w:r>
      <w:r w:rsidRPr="00F43E80">
        <w:rPr>
          <w:rStyle w:val="FootnoteReference"/>
          <w:rFonts w:ascii="Times New Roman" w:hAnsi="Times New Roman" w:cs="Times New Roman"/>
          <w:sz w:val="20"/>
          <w:szCs w:val="20"/>
        </w:rPr>
        <w:footnoteReference w:id="74"/>
      </w:r>
      <w:r w:rsidRPr="00F43E80">
        <w:rPr>
          <w:rFonts w:ascii="Times New Roman" w:hAnsi="Times New Roman" w:cs="Times New Roman"/>
          <w:sz w:val="20"/>
          <w:szCs w:val="20"/>
        </w:rPr>
        <w:t xml:space="preserve"> Strangely, the Court did not make any order for meaningful engagement in the identification of alternative accommodation, relocations, and gathering of information on the personal circumstances of the occupiers. Such judgments disempower the vulnerable occupiers and erode their human dignity.</w:t>
      </w:r>
    </w:p>
    <w:p w14:paraId="7F7D9A90" w14:textId="77777777" w:rsidR="009C0ACF" w:rsidRPr="00F43E80" w:rsidRDefault="009C0ACF" w:rsidP="00F43E80">
      <w:pPr>
        <w:tabs>
          <w:tab w:val="left" w:pos="284"/>
        </w:tabs>
        <w:ind w:right="33"/>
        <w:jc w:val="both"/>
        <w:rPr>
          <w:rFonts w:ascii="Times New Roman" w:hAnsi="Times New Roman" w:cs="Times New Roman"/>
          <w:sz w:val="20"/>
          <w:szCs w:val="20"/>
        </w:rPr>
      </w:pPr>
    </w:p>
    <w:p w14:paraId="109F8ADD"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iCs/>
          <w:sz w:val="20"/>
          <w:szCs w:val="20"/>
        </w:rPr>
        <w:t xml:space="preserve">The regressive trend was continued in </w:t>
      </w:r>
      <w:r w:rsidRPr="00F43E80">
        <w:rPr>
          <w:rFonts w:ascii="Times New Roman" w:hAnsi="Times New Roman" w:cs="Times New Roman"/>
          <w:i/>
          <w:sz w:val="20"/>
          <w:szCs w:val="20"/>
        </w:rPr>
        <w:t>Occupiers of Saratoga</w:t>
      </w:r>
      <w:r w:rsidRPr="00F43E80">
        <w:rPr>
          <w:rFonts w:ascii="Times New Roman" w:hAnsi="Times New Roman" w:cs="Times New Roman"/>
          <w:iCs/>
          <w:sz w:val="20"/>
          <w:szCs w:val="20"/>
        </w:rPr>
        <w:t>.</w:t>
      </w:r>
      <w:r w:rsidRPr="00F43E80">
        <w:rPr>
          <w:rStyle w:val="FootnoteReference"/>
          <w:rFonts w:ascii="Times New Roman" w:hAnsi="Times New Roman" w:cs="Times New Roman"/>
          <w:iCs/>
          <w:sz w:val="20"/>
          <w:szCs w:val="20"/>
        </w:rPr>
        <w:footnoteReference w:id="75"/>
      </w:r>
      <w:r w:rsidRPr="00F43E80">
        <w:rPr>
          <w:rFonts w:ascii="Times New Roman" w:hAnsi="Times New Roman" w:cs="Times New Roman"/>
          <w:i/>
          <w:sz w:val="20"/>
          <w:szCs w:val="20"/>
        </w:rPr>
        <w:t xml:space="preserve"> </w:t>
      </w:r>
      <w:r w:rsidRPr="00F43E80">
        <w:rPr>
          <w:rFonts w:ascii="Times New Roman" w:hAnsi="Times New Roman" w:cs="Times New Roman"/>
          <w:iCs/>
          <w:sz w:val="20"/>
          <w:szCs w:val="20"/>
        </w:rPr>
        <w:t xml:space="preserve">In this eviction case, the </w:t>
      </w:r>
      <w:r w:rsidRPr="00F43E80">
        <w:rPr>
          <w:rFonts w:ascii="Times New Roman" w:hAnsi="Times New Roman" w:cs="Times New Roman"/>
          <w:sz w:val="20"/>
          <w:szCs w:val="20"/>
        </w:rPr>
        <w:t>Constitutional Court employed a very low standard of review for meaningful engagement at the expense of the unlawful occupiers. In this case, about 50 households approached the Court to request for the variation of an order of the</w:t>
      </w:r>
      <w:r w:rsidRPr="00F43E80">
        <w:rPr>
          <w:rFonts w:ascii="Times New Roman" w:hAnsi="Times New Roman" w:cs="Times New Roman"/>
          <w:i/>
          <w:sz w:val="20"/>
          <w:szCs w:val="20"/>
        </w:rPr>
        <w:t xml:space="preserve"> </w:t>
      </w:r>
      <w:r w:rsidRPr="00F43E80">
        <w:rPr>
          <w:rFonts w:ascii="Times New Roman" w:hAnsi="Times New Roman" w:cs="Times New Roman"/>
          <w:sz w:val="20"/>
          <w:szCs w:val="20"/>
        </w:rPr>
        <w:t>Constitutional Court that required the City of Johannesburg to make provision for temporary accommodation to a wider group of people and for the postponement of the eviction order.</w:t>
      </w:r>
      <w:r w:rsidRPr="00F43E80">
        <w:rPr>
          <w:rStyle w:val="FootnoteReference"/>
          <w:rFonts w:ascii="Times New Roman" w:hAnsi="Times New Roman" w:cs="Times New Roman"/>
          <w:sz w:val="20"/>
          <w:szCs w:val="20"/>
        </w:rPr>
        <w:footnoteReference w:id="76"/>
      </w:r>
      <w:r w:rsidRPr="00F43E80">
        <w:rPr>
          <w:rFonts w:ascii="Times New Roman" w:hAnsi="Times New Roman" w:cs="Times New Roman"/>
          <w:sz w:val="20"/>
          <w:szCs w:val="20"/>
        </w:rPr>
        <w:t xml:space="preserve"> The occupiers argued that the reason they brought the matter to the Constitutional Court was because the City had not meaningfully engaged with them in relation to the temporary accommodation, and they further argued that meaningful engagement is a substantive requirement.</w:t>
      </w:r>
      <w:r w:rsidRPr="00F43E80">
        <w:rPr>
          <w:rStyle w:val="FootnoteReference"/>
          <w:rFonts w:ascii="Times New Roman" w:hAnsi="Times New Roman" w:cs="Times New Roman"/>
          <w:sz w:val="20"/>
          <w:szCs w:val="20"/>
        </w:rPr>
        <w:footnoteReference w:id="77"/>
      </w:r>
      <w:r w:rsidRPr="00F43E80">
        <w:rPr>
          <w:rFonts w:ascii="Times New Roman" w:hAnsi="Times New Roman" w:cs="Times New Roman"/>
          <w:sz w:val="20"/>
          <w:szCs w:val="20"/>
        </w:rPr>
        <w:t xml:space="preserve"> In a unanimous judgement delivered by </w:t>
      </w:r>
      <w:proofErr w:type="spellStart"/>
      <w:r w:rsidRPr="00F43E80">
        <w:rPr>
          <w:rFonts w:ascii="Times New Roman" w:hAnsi="Times New Roman" w:cs="Times New Roman"/>
          <w:sz w:val="20"/>
          <w:szCs w:val="20"/>
        </w:rPr>
        <w:t>Froneman</w:t>
      </w:r>
      <w:proofErr w:type="spellEnd"/>
      <w:r w:rsidRPr="00F43E80">
        <w:rPr>
          <w:rFonts w:ascii="Times New Roman" w:hAnsi="Times New Roman" w:cs="Times New Roman"/>
          <w:sz w:val="20"/>
          <w:szCs w:val="20"/>
        </w:rPr>
        <w:t xml:space="preserve"> J, the application by the occupiers was dismissed and the Constitutional Court further held that it was not necessary to make any finding on the question of whether meaningful engagement was a substantive requirement. This judgment was regressive.</w:t>
      </w:r>
    </w:p>
    <w:p w14:paraId="539F0033" w14:textId="77777777" w:rsidR="009C0ACF" w:rsidRPr="00F43E80" w:rsidRDefault="009C0ACF" w:rsidP="00F43E80">
      <w:pPr>
        <w:tabs>
          <w:tab w:val="left" w:pos="284"/>
        </w:tabs>
        <w:ind w:right="33"/>
        <w:jc w:val="both"/>
        <w:rPr>
          <w:rFonts w:ascii="Times New Roman" w:hAnsi="Times New Roman" w:cs="Times New Roman"/>
          <w:sz w:val="20"/>
          <w:szCs w:val="20"/>
        </w:rPr>
      </w:pPr>
    </w:p>
    <w:p w14:paraId="767CA637" w14:textId="77777777" w:rsidR="005D1982" w:rsidRPr="00F43E80" w:rsidRDefault="009C0ACF" w:rsidP="00F43E80">
      <w:pPr>
        <w:tabs>
          <w:tab w:val="left" w:pos="284"/>
        </w:tabs>
        <w:ind w:right="33"/>
        <w:jc w:val="both"/>
        <w:rPr>
          <w:rFonts w:ascii="Times New Roman" w:hAnsi="Times New Roman" w:cs="Times New Roman"/>
          <w:iCs/>
          <w:sz w:val="20"/>
          <w:szCs w:val="20"/>
        </w:rPr>
      </w:pPr>
      <w:r w:rsidRPr="00F43E80">
        <w:rPr>
          <w:rFonts w:ascii="Times New Roman" w:eastAsia="Times New Roman" w:hAnsi="Times New Roman" w:cs="Times New Roman"/>
          <w:sz w:val="20"/>
          <w:szCs w:val="20"/>
          <w:shd w:val="clear" w:color="auto" w:fill="FFFFFF"/>
          <w:lang w:val="en-ZA" w:eastAsia="en-GB"/>
        </w:rPr>
        <w:t xml:space="preserve">The regressive conceptualisation had far-reaching implications for the vulnerable occupiers as eviction orders were issued without full consideration of their relevant circumstances. In </w:t>
      </w:r>
      <w:r w:rsidRPr="00F43E80">
        <w:rPr>
          <w:rFonts w:ascii="Times New Roman" w:eastAsia="Times New Roman" w:hAnsi="Times New Roman" w:cs="Times New Roman"/>
          <w:i/>
          <w:iCs/>
          <w:sz w:val="20"/>
          <w:szCs w:val="20"/>
          <w:shd w:val="clear" w:color="auto" w:fill="FFFFFF"/>
          <w:lang w:val="en-ZA" w:eastAsia="en-GB"/>
        </w:rPr>
        <w:t>Residents of Joe Slovo</w:t>
      </w:r>
      <w:r w:rsidRPr="00F43E80">
        <w:rPr>
          <w:rFonts w:ascii="Times New Roman" w:eastAsia="Times New Roman" w:hAnsi="Times New Roman" w:cs="Times New Roman"/>
          <w:sz w:val="20"/>
          <w:szCs w:val="20"/>
          <w:shd w:val="clear" w:color="auto" w:fill="FFFFFF"/>
          <w:lang w:val="en-ZA" w:eastAsia="en-GB"/>
        </w:rPr>
        <w:t xml:space="preserve">, disconcertingly, the court held that the complaints about the City’s broken promises were not related to meaningful engagement and the eviction order was issued merely based on the number of consultations that took place. In </w:t>
      </w:r>
      <w:r w:rsidRPr="00F43E80">
        <w:rPr>
          <w:rFonts w:ascii="Times New Roman" w:hAnsi="Times New Roman" w:cs="Times New Roman"/>
          <w:i/>
          <w:sz w:val="20"/>
          <w:szCs w:val="20"/>
        </w:rPr>
        <w:t xml:space="preserve">Occupiers of </w:t>
      </w:r>
      <w:proofErr w:type="spellStart"/>
      <w:r w:rsidRPr="00F43E80">
        <w:rPr>
          <w:rFonts w:ascii="Times New Roman" w:hAnsi="Times New Roman" w:cs="Times New Roman"/>
          <w:i/>
          <w:sz w:val="20"/>
          <w:szCs w:val="20"/>
        </w:rPr>
        <w:t>Skurweplaas</w:t>
      </w:r>
      <w:proofErr w:type="spellEnd"/>
      <w:r w:rsidRPr="00F43E80">
        <w:rPr>
          <w:rFonts w:ascii="Times New Roman" w:hAnsi="Times New Roman" w:cs="Times New Roman"/>
          <w:i/>
          <w:sz w:val="20"/>
          <w:szCs w:val="20"/>
        </w:rPr>
        <w:t>,</w:t>
      </w:r>
      <w:r w:rsidRPr="00F43E80">
        <w:rPr>
          <w:rFonts w:ascii="Times New Roman" w:hAnsi="Times New Roman" w:cs="Times New Roman"/>
          <w:iCs/>
          <w:sz w:val="20"/>
          <w:szCs w:val="20"/>
        </w:rPr>
        <w:t xml:space="preserve"> the Court dishearteningly did not deem it necessary to make an order for meaningful engagement in the identification of alternative accommodation after issuing an order for eviction. </w:t>
      </w:r>
    </w:p>
    <w:p w14:paraId="0296AB60" w14:textId="77777777" w:rsidR="005D1982" w:rsidRPr="00F43E80" w:rsidRDefault="005D1982" w:rsidP="00F43E80">
      <w:pPr>
        <w:tabs>
          <w:tab w:val="left" w:pos="284"/>
        </w:tabs>
        <w:ind w:right="33"/>
        <w:jc w:val="both"/>
        <w:rPr>
          <w:rFonts w:ascii="Times New Roman" w:hAnsi="Times New Roman" w:cs="Times New Roman"/>
          <w:iCs/>
          <w:sz w:val="20"/>
          <w:szCs w:val="20"/>
        </w:rPr>
      </w:pPr>
    </w:p>
    <w:p w14:paraId="15D77C0C" w14:textId="751252BE" w:rsidR="009C0ACF" w:rsidRPr="00F43E80" w:rsidRDefault="005D1982" w:rsidP="00F43E80">
      <w:pPr>
        <w:tabs>
          <w:tab w:val="left" w:pos="284"/>
        </w:tabs>
        <w:ind w:right="33"/>
        <w:jc w:val="both"/>
        <w:rPr>
          <w:rFonts w:ascii="Times New Roman" w:eastAsia="Times New Roman" w:hAnsi="Times New Roman" w:cs="Times New Roman"/>
          <w:iCs/>
          <w:sz w:val="20"/>
          <w:szCs w:val="20"/>
          <w:shd w:val="clear" w:color="auto" w:fill="FFFFFF"/>
          <w:lang w:val="en-ZA" w:eastAsia="en-GB"/>
        </w:rPr>
      </w:pPr>
      <w:r w:rsidRPr="00F43E80">
        <w:rPr>
          <w:rFonts w:ascii="Times New Roman" w:hAnsi="Times New Roman" w:cs="Times New Roman"/>
          <w:iCs/>
          <w:sz w:val="20"/>
          <w:szCs w:val="20"/>
        </w:rPr>
        <w:t>The applicant in</w:t>
      </w:r>
      <w:r w:rsidR="009C0ACF" w:rsidRPr="00F43E80">
        <w:rPr>
          <w:rFonts w:ascii="Times New Roman" w:hAnsi="Times New Roman" w:cs="Times New Roman"/>
          <w:iCs/>
          <w:sz w:val="20"/>
          <w:szCs w:val="20"/>
        </w:rPr>
        <w:t xml:space="preserve"> </w:t>
      </w:r>
      <w:r w:rsidR="009C0ACF" w:rsidRPr="00F43E80">
        <w:rPr>
          <w:rFonts w:ascii="Times New Roman" w:hAnsi="Times New Roman" w:cs="Times New Roman"/>
          <w:i/>
          <w:sz w:val="20"/>
          <w:szCs w:val="20"/>
        </w:rPr>
        <w:t>Occupiers of Saratoga,</w:t>
      </w:r>
      <w:r w:rsidRPr="00F43E80">
        <w:rPr>
          <w:rFonts w:ascii="Times New Roman" w:hAnsi="Times New Roman" w:cs="Times New Roman"/>
          <w:i/>
          <w:sz w:val="20"/>
          <w:szCs w:val="20"/>
        </w:rPr>
        <w:t xml:space="preserve"> </w:t>
      </w:r>
      <w:r w:rsidRPr="00F43E80">
        <w:rPr>
          <w:rFonts w:ascii="Times New Roman" w:hAnsi="Times New Roman" w:cs="Times New Roman"/>
          <w:iCs/>
          <w:sz w:val="20"/>
          <w:szCs w:val="20"/>
        </w:rPr>
        <w:t>which were 86 poor individuals facing eviction by the municipality argued that the city of Johannesburg has a constitutional obligation to provide temporary alternative accommodation and to engage meaningfully with the occupiers. They</w:t>
      </w:r>
      <w:r w:rsidR="00114621" w:rsidRPr="00F43E80">
        <w:rPr>
          <w:rFonts w:ascii="Times New Roman" w:hAnsi="Times New Roman" w:cs="Times New Roman"/>
          <w:iCs/>
          <w:sz w:val="20"/>
          <w:szCs w:val="20"/>
        </w:rPr>
        <w:t xml:space="preserve"> presented facts to</w:t>
      </w:r>
      <w:r w:rsidRPr="00F43E80">
        <w:rPr>
          <w:rFonts w:ascii="Times New Roman" w:hAnsi="Times New Roman" w:cs="Times New Roman"/>
          <w:iCs/>
          <w:sz w:val="20"/>
          <w:szCs w:val="20"/>
        </w:rPr>
        <w:t xml:space="preserve"> the court t</w:t>
      </w:r>
      <w:r w:rsidR="00114621" w:rsidRPr="00F43E80">
        <w:rPr>
          <w:rFonts w:ascii="Times New Roman" w:hAnsi="Times New Roman" w:cs="Times New Roman"/>
          <w:iCs/>
          <w:sz w:val="20"/>
          <w:szCs w:val="20"/>
        </w:rPr>
        <w:t>o demonstrate that</w:t>
      </w:r>
      <w:r w:rsidRPr="00F43E80">
        <w:rPr>
          <w:rFonts w:ascii="Times New Roman" w:hAnsi="Times New Roman" w:cs="Times New Roman"/>
          <w:iCs/>
          <w:sz w:val="20"/>
          <w:szCs w:val="20"/>
        </w:rPr>
        <w:t xml:space="preserve"> the </w:t>
      </w:r>
      <w:proofErr w:type="gramStart"/>
      <w:r w:rsidR="00114621" w:rsidRPr="00F43E80">
        <w:rPr>
          <w:rFonts w:ascii="Times New Roman" w:hAnsi="Times New Roman" w:cs="Times New Roman"/>
          <w:iCs/>
          <w:sz w:val="20"/>
          <w:szCs w:val="20"/>
        </w:rPr>
        <w:t>C</w:t>
      </w:r>
      <w:r w:rsidRPr="00F43E80">
        <w:rPr>
          <w:rFonts w:ascii="Times New Roman" w:hAnsi="Times New Roman" w:cs="Times New Roman"/>
          <w:iCs/>
          <w:sz w:val="20"/>
          <w:szCs w:val="20"/>
        </w:rPr>
        <w:t>ity</w:t>
      </w:r>
      <w:proofErr w:type="gramEnd"/>
      <w:r w:rsidRPr="00F43E80">
        <w:rPr>
          <w:rFonts w:ascii="Times New Roman" w:hAnsi="Times New Roman" w:cs="Times New Roman"/>
          <w:iCs/>
          <w:sz w:val="20"/>
          <w:szCs w:val="20"/>
        </w:rPr>
        <w:t xml:space="preserve"> did not engage </w:t>
      </w:r>
      <w:r w:rsidRPr="00F43E80">
        <w:rPr>
          <w:rFonts w:ascii="Times New Roman" w:hAnsi="Times New Roman" w:cs="Times New Roman"/>
          <w:iCs/>
          <w:sz w:val="20"/>
          <w:szCs w:val="20"/>
        </w:rPr>
        <w:lastRenderedPageBreak/>
        <w:t>meaningfully and genuinely</w:t>
      </w:r>
      <w:r w:rsidR="00114621" w:rsidRPr="00F43E80">
        <w:rPr>
          <w:rFonts w:ascii="Times New Roman" w:hAnsi="Times New Roman" w:cs="Times New Roman"/>
          <w:iCs/>
          <w:sz w:val="20"/>
          <w:szCs w:val="20"/>
        </w:rPr>
        <w:t>.</w:t>
      </w:r>
      <w:r w:rsidRPr="00F43E80">
        <w:rPr>
          <w:rFonts w:ascii="Times New Roman" w:hAnsi="Times New Roman" w:cs="Times New Roman"/>
          <w:iCs/>
          <w:sz w:val="20"/>
          <w:szCs w:val="20"/>
        </w:rPr>
        <w:t xml:space="preserve"> </w:t>
      </w:r>
      <w:r w:rsidR="00114621" w:rsidRPr="00F43E80">
        <w:rPr>
          <w:rFonts w:ascii="Times New Roman" w:hAnsi="Times New Roman" w:cs="Times New Roman"/>
          <w:iCs/>
          <w:sz w:val="20"/>
          <w:szCs w:val="20"/>
        </w:rPr>
        <w:t>B</w:t>
      </w:r>
      <w:r w:rsidRPr="00F43E80">
        <w:rPr>
          <w:rFonts w:ascii="Times New Roman" w:hAnsi="Times New Roman" w:cs="Times New Roman"/>
          <w:iCs/>
          <w:sz w:val="20"/>
          <w:szCs w:val="20"/>
        </w:rPr>
        <w:t>ut dishonestly</w:t>
      </w:r>
      <w:r w:rsidR="00114621" w:rsidRPr="00F43E80">
        <w:rPr>
          <w:rFonts w:ascii="Times New Roman" w:hAnsi="Times New Roman" w:cs="Times New Roman"/>
          <w:iCs/>
          <w:sz w:val="20"/>
          <w:szCs w:val="20"/>
        </w:rPr>
        <w:t>,</w:t>
      </w:r>
      <w:r w:rsidRPr="00F43E80">
        <w:rPr>
          <w:rFonts w:ascii="Times New Roman" w:hAnsi="Times New Roman" w:cs="Times New Roman"/>
          <w:iCs/>
          <w:sz w:val="20"/>
          <w:szCs w:val="20"/>
        </w:rPr>
        <w:t xml:space="preserve"> as the</w:t>
      </w:r>
      <w:r w:rsidR="00114621" w:rsidRPr="00F43E80">
        <w:rPr>
          <w:rFonts w:ascii="Times New Roman" w:hAnsi="Times New Roman" w:cs="Times New Roman"/>
          <w:iCs/>
          <w:sz w:val="20"/>
          <w:szCs w:val="20"/>
        </w:rPr>
        <w:t>y accused the</w:t>
      </w:r>
      <w:r w:rsidRPr="00F43E80">
        <w:rPr>
          <w:rFonts w:ascii="Times New Roman" w:hAnsi="Times New Roman" w:cs="Times New Roman"/>
          <w:iCs/>
          <w:sz w:val="20"/>
          <w:szCs w:val="20"/>
        </w:rPr>
        <w:t xml:space="preserve"> </w:t>
      </w:r>
      <w:proofErr w:type="gramStart"/>
      <w:r w:rsidRPr="00F43E80">
        <w:rPr>
          <w:rFonts w:ascii="Times New Roman" w:hAnsi="Times New Roman" w:cs="Times New Roman"/>
          <w:iCs/>
          <w:sz w:val="20"/>
          <w:szCs w:val="20"/>
        </w:rPr>
        <w:t>City</w:t>
      </w:r>
      <w:proofErr w:type="gramEnd"/>
      <w:r w:rsidRPr="00F43E80">
        <w:rPr>
          <w:rFonts w:ascii="Times New Roman" w:hAnsi="Times New Roman" w:cs="Times New Roman"/>
          <w:iCs/>
          <w:sz w:val="20"/>
          <w:szCs w:val="20"/>
        </w:rPr>
        <w:t xml:space="preserve"> </w:t>
      </w:r>
      <w:r w:rsidR="00114621" w:rsidRPr="00F43E80">
        <w:rPr>
          <w:rFonts w:ascii="Times New Roman" w:hAnsi="Times New Roman" w:cs="Times New Roman"/>
          <w:iCs/>
          <w:sz w:val="20"/>
          <w:szCs w:val="20"/>
        </w:rPr>
        <w:t>of having</w:t>
      </w:r>
      <w:r w:rsidRPr="00F43E80">
        <w:rPr>
          <w:rFonts w:ascii="Times New Roman" w:hAnsi="Times New Roman" w:cs="Times New Roman"/>
          <w:iCs/>
          <w:sz w:val="20"/>
          <w:szCs w:val="20"/>
        </w:rPr>
        <w:t xml:space="preserve"> predetermined the outcomes of the engagement process without truly considering the needs and concerns of the occupiers. In a very regressive manner,</w:t>
      </w:r>
      <w:r w:rsidR="009C0ACF" w:rsidRPr="00F43E80">
        <w:rPr>
          <w:rFonts w:ascii="Times New Roman" w:hAnsi="Times New Roman" w:cs="Times New Roman"/>
          <w:i/>
          <w:sz w:val="20"/>
          <w:szCs w:val="20"/>
        </w:rPr>
        <w:t xml:space="preserve"> </w:t>
      </w:r>
      <w:r w:rsidR="009C0ACF" w:rsidRPr="00F43E80">
        <w:rPr>
          <w:rFonts w:ascii="Times New Roman" w:hAnsi="Times New Roman" w:cs="Times New Roman"/>
          <w:iCs/>
          <w:sz w:val="20"/>
          <w:szCs w:val="20"/>
        </w:rPr>
        <w:t>the Court</w:t>
      </w:r>
      <w:r w:rsidR="00114621" w:rsidRPr="00F43E80">
        <w:rPr>
          <w:rFonts w:ascii="Times New Roman" w:hAnsi="Times New Roman" w:cs="Times New Roman"/>
          <w:iCs/>
          <w:sz w:val="20"/>
          <w:szCs w:val="20"/>
        </w:rPr>
        <w:t xml:space="preserve"> dismissed the application by the occupiers. Though the Court emphasised the importance of meaningful engagement and the right to dignity of the occupiers, it did</w:t>
      </w:r>
      <w:r w:rsidR="009C0ACF" w:rsidRPr="00F43E80">
        <w:rPr>
          <w:rFonts w:ascii="Times New Roman" w:hAnsi="Times New Roman" w:cs="Times New Roman"/>
          <w:iCs/>
          <w:sz w:val="20"/>
          <w:szCs w:val="20"/>
        </w:rPr>
        <w:t xml:space="preserve"> not see the need to make a ruling on meaningful engagement</w:t>
      </w:r>
      <w:r w:rsidR="00114621" w:rsidRPr="00F43E80">
        <w:rPr>
          <w:rFonts w:ascii="Times New Roman" w:hAnsi="Times New Roman" w:cs="Times New Roman"/>
          <w:iCs/>
          <w:sz w:val="20"/>
          <w:szCs w:val="20"/>
        </w:rPr>
        <w:t>.</w:t>
      </w:r>
      <w:r w:rsidR="009C0ACF" w:rsidRPr="00F43E80">
        <w:rPr>
          <w:rFonts w:ascii="Times New Roman" w:hAnsi="Times New Roman" w:cs="Times New Roman"/>
          <w:iCs/>
          <w:sz w:val="20"/>
          <w:szCs w:val="20"/>
        </w:rPr>
        <w:t xml:space="preserve"> </w:t>
      </w:r>
      <w:r w:rsidR="00114621" w:rsidRPr="00F43E80">
        <w:rPr>
          <w:rFonts w:ascii="Times New Roman" w:hAnsi="Times New Roman" w:cs="Times New Roman"/>
          <w:iCs/>
          <w:sz w:val="20"/>
          <w:szCs w:val="20"/>
        </w:rPr>
        <w:t>The Court’s reluctance to making a ruling on meaningful engagement did limit the potential for more comprehensive protection for the occupiers.</w:t>
      </w:r>
    </w:p>
    <w:p w14:paraId="06BE91D5"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7ED5811" w14:textId="77777777"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5</w:t>
      </w:r>
      <w:r w:rsidRPr="00F43E80">
        <w:rPr>
          <w:rFonts w:ascii="Times New Roman" w:hAnsi="Times New Roman" w:cs="Times New Roman"/>
          <w:b/>
          <w:bCs/>
          <w:sz w:val="20"/>
          <w:szCs w:val="20"/>
        </w:rPr>
        <w:tab/>
        <w:t xml:space="preserve">REVIVED TRANSFORMATIVE </w:t>
      </w:r>
      <w:proofErr w:type="gramStart"/>
      <w:r w:rsidRPr="00F43E80">
        <w:rPr>
          <w:rFonts w:ascii="Times New Roman" w:hAnsi="Times New Roman" w:cs="Times New Roman"/>
          <w:b/>
          <w:bCs/>
          <w:sz w:val="20"/>
          <w:szCs w:val="20"/>
        </w:rPr>
        <w:t>CONCEPTUALISATION</w:t>
      </w:r>
      <w:proofErr w:type="gramEnd"/>
      <w:r w:rsidRPr="00F43E80">
        <w:rPr>
          <w:rFonts w:ascii="Times New Roman" w:hAnsi="Times New Roman" w:cs="Times New Roman"/>
          <w:b/>
          <w:bCs/>
          <w:sz w:val="20"/>
          <w:szCs w:val="20"/>
        </w:rPr>
        <w:t xml:space="preserve"> OF MEANINGFUL ENGAGEMENT BY THE CONSTITUTIONAL COURT</w:t>
      </w:r>
    </w:p>
    <w:p w14:paraId="47586D26"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After a prolonged and agonising period of regressive conceptualisation, in </w:t>
      </w:r>
      <w:r w:rsidRPr="00F43E80">
        <w:rPr>
          <w:rFonts w:ascii="Times New Roman" w:hAnsi="Times New Roman" w:cs="Times New Roman"/>
          <w:i/>
          <w:iCs/>
          <w:sz w:val="20"/>
          <w:szCs w:val="20"/>
        </w:rPr>
        <w:t xml:space="preserve">Charnell Commando </w:t>
      </w:r>
      <w:r w:rsidRPr="00F43E80">
        <w:rPr>
          <w:rFonts w:ascii="Times New Roman" w:hAnsi="Times New Roman" w:cs="Times New Roman"/>
          <w:sz w:val="20"/>
          <w:szCs w:val="20"/>
        </w:rPr>
        <w:t xml:space="preserve">we experience a reinvigoration of the progressive understanding of meaningful engagement by the Constitutional Court. The occupiers in this case occupied several units in Woodstock by virtue of lease agreements and, in some cases, in terms of intergenerational leases going back to the era of their grandparents. The property was then purchased by Woodstock Hub, which was done with the intention of building residential units for letting at rates that were significantly higher than what the occupiers were paying. This purchase and proposed development were part of the broader programme of gentrification in the inner city. </w:t>
      </w:r>
    </w:p>
    <w:p w14:paraId="26603701" w14:textId="77777777" w:rsidR="009C0ACF" w:rsidRPr="00F43E80" w:rsidRDefault="009C0ACF" w:rsidP="00F43E80">
      <w:pPr>
        <w:tabs>
          <w:tab w:val="left" w:pos="284"/>
        </w:tabs>
        <w:ind w:right="33"/>
        <w:jc w:val="both"/>
        <w:rPr>
          <w:rFonts w:ascii="Times New Roman" w:hAnsi="Times New Roman" w:cs="Times New Roman"/>
          <w:sz w:val="20"/>
          <w:szCs w:val="20"/>
        </w:rPr>
      </w:pPr>
    </w:p>
    <w:p w14:paraId="542ADFED"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The occupiers continued to occupy the property even after it was sold. In 2015, Woodstock Hub instituted eviction proceedings against the residents. The Cape High Court issued an order directing the residents to vacate the property by July 2016. In September 2016, the occupiers launched an application to the High Court divided in two parts: Part A was the suspension of the execution of the eviction orders, which were granted, pending the outcome of Part B in which an order was sought declaring that the City was under a constitutional obligation to provide the residents with temporary emergency accommodation in a location “as near as possible” to the property, within three months.</w:t>
      </w:r>
      <w:r w:rsidRPr="00F43E80">
        <w:rPr>
          <w:rStyle w:val="FootnoteReference"/>
          <w:rFonts w:ascii="Times New Roman" w:hAnsi="Times New Roman" w:cs="Times New Roman"/>
          <w:sz w:val="20"/>
          <w:szCs w:val="20"/>
        </w:rPr>
        <w:footnoteReference w:id="78"/>
      </w:r>
      <w:r w:rsidRPr="00F43E80">
        <w:rPr>
          <w:rFonts w:ascii="Times New Roman" w:hAnsi="Times New Roman" w:cs="Times New Roman"/>
          <w:sz w:val="20"/>
          <w:szCs w:val="20"/>
        </w:rPr>
        <w:t xml:space="preserve"> The occupiers contend that in the identification of alternative accommodation for them, the City treated them “irrationally and arbitrarily by not engaging in a consultative exercise with them”.</w:t>
      </w:r>
      <w:r w:rsidRPr="00F43E80">
        <w:rPr>
          <w:rStyle w:val="FootnoteReference"/>
          <w:rFonts w:ascii="Times New Roman" w:hAnsi="Times New Roman" w:cs="Times New Roman"/>
          <w:sz w:val="20"/>
          <w:szCs w:val="20"/>
        </w:rPr>
        <w:footnoteReference w:id="79"/>
      </w:r>
    </w:p>
    <w:p w14:paraId="0BDD7AA4"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AB69C80"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The City contended that the SCA was correct in finding that there is no obligation to make temporary emergency accommodation available within a specific location.</w:t>
      </w:r>
      <w:r w:rsidRPr="00F43E80">
        <w:rPr>
          <w:rStyle w:val="FootnoteReference"/>
          <w:rFonts w:ascii="Times New Roman" w:hAnsi="Times New Roman" w:cs="Times New Roman"/>
          <w:sz w:val="20"/>
          <w:szCs w:val="20"/>
        </w:rPr>
        <w:footnoteReference w:id="80"/>
      </w:r>
      <w:r w:rsidRPr="00F43E80">
        <w:rPr>
          <w:rFonts w:ascii="Times New Roman" w:hAnsi="Times New Roman" w:cs="Times New Roman"/>
          <w:sz w:val="20"/>
          <w:szCs w:val="20"/>
        </w:rPr>
        <w:t xml:space="preserve"> Further, the City asserts that if it was to be compelled to find space elsewhere in the inner city, the effect of the order would be to redirect the City’s resources from the social housing programmes to temporary emergency housing within the inner city given that there is presently no land available for other purposes. They argue that such a decision would amount to judicial overreach.</w:t>
      </w:r>
      <w:r w:rsidRPr="00F43E80">
        <w:rPr>
          <w:rStyle w:val="FootnoteReference"/>
          <w:rFonts w:ascii="Times New Roman" w:hAnsi="Times New Roman" w:cs="Times New Roman"/>
          <w:sz w:val="20"/>
          <w:szCs w:val="20"/>
        </w:rPr>
        <w:footnoteReference w:id="81"/>
      </w:r>
      <w:r w:rsidRPr="00F43E80">
        <w:rPr>
          <w:rFonts w:ascii="Times New Roman" w:hAnsi="Times New Roman" w:cs="Times New Roman"/>
          <w:sz w:val="20"/>
          <w:szCs w:val="20"/>
        </w:rPr>
        <w:t xml:space="preserve"> </w:t>
      </w:r>
    </w:p>
    <w:p w14:paraId="5A9EB9CF" w14:textId="77777777" w:rsidR="009C0ACF" w:rsidRPr="00F43E80" w:rsidRDefault="009C0ACF" w:rsidP="00F43E80">
      <w:pPr>
        <w:tabs>
          <w:tab w:val="left" w:pos="284"/>
        </w:tabs>
        <w:ind w:right="33"/>
        <w:jc w:val="both"/>
        <w:rPr>
          <w:rFonts w:ascii="Times New Roman" w:hAnsi="Times New Roman" w:cs="Times New Roman"/>
          <w:sz w:val="20"/>
          <w:szCs w:val="20"/>
        </w:rPr>
      </w:pPr>
    </w:p>
    <w:p w14:paraId="164B15D7" w14:textId="77777777" w:rsidR="009C0ACF" w:rsidRPr="00F43E80" w:rsidRDefault="009C0ACF" w:rsidP="00F43E80">
      <w:pPr>
        <w:tabs>
          <w:tab w:val="left" w:pos="284"/>
        </w:tabs>
        <w:ind w:right="33"/>
        <w:jc w:val="both"/>
        <w:rPr>
          <w:rFonts w:ascii="Times New Roman" w:hAnsi="Times New Roman" w:cs="Times New Roman"/>
          <w:sz w:val="20"/>
          <w:szCs w:val="20"/>
        </w:rPr>
      </w:pPr>
      <w:proofErr w:type="spellStart"/>
      <w:r w:rsidRPr="00F43E80">
        <w:rPr>
          <w:rFonts w:ascii="Times New Roman" w:hAnsi="Times New Roman" w:cs="Times New Roman"/>
          <w:sz w:val="20"/>
          <w:szCs w:val="20"/>
        </w:rPr>
        <w:t>Abahlali</w:t>
      </w:r>
      <w:proofErr w:type="spellEnd"/>
      <w:r w:rsidRPr="00F43E80">
        <w:rPr>
          <w:rFonts w:ascii="Times New Roman" w:hAnsi="Times New Roman" w:cs="Times New Roman"/>
          <w:sz w:val="20"/>
          <w:szCs w:val="20"/>
        </w:rPr>
        <w:t xml:space="preserve">, who were admitted as </w:t>
      </w:r>
      <w:r w:rsidRPr="00F43E80">
        <w:rPr>
          <w:rFonts w:ascii="Times New Roman" w:hAnsi="Times New Roman" w:cs="Times New Roman"/>
          <w:i/>
          <w:iCs/>
          <w:sz w:val="20"/>
          <w:szCs w:val="20"/>
        </w:rPr>
        <w:t>amicus curiae</w:t>
      </w:r>
      <w:r w:rsidRPr="00F43E80">
        <w:rPr>
          <w:rFonts w:ascii="Times New Roman" w:hAnsi="Times New Roman" w:cs="Times New Roman"/>
          <w:sz w:val="20"/>
          <w:szCs w:val="20"/>
        </w:rPr>
        <w:t xml:space="preserve">, brought to the attention of the Court the UN Special Rapporteur’s Guidelines for Implementation of the Right to Adequate Housing, which provides that there should be “substantial consultation” with those likely to be impacted by relocation in determining alternative housing in terms of size, quality, affordability and close proximity to the original residence, and source of livelihood. </w:t>
      </w:r>
      <w:r w:rsidRPr="00F43E80">
        <w:rPr>
          <w:rStyle w:val="FootnoteReference"/>
          <w:rFonts w:ascii="Times New Roman" w:hAnsi="Times New Roman" w:cs="Times New Roman"/>
          <w:sz w:val="20"/>
          <w:szCs w:val="20"/>
        </w:rPr>
        <w:footnoteReference w:id="82"/>
      </w:r>
    </w:p>
    <w:p w14:paraId="59919233" w14:textId="77777777" w:rsidR="009C0ACF" w:rsidRPr="00F43E80" w:rsidRDefault="009C0ACF" w:rsidP="00F43E80">
      <w:pPr>
        <w:tabs>
          <w:tab w:val="left" w:pos="284"/>
        </w:tabs>
        <w:ind w:right="33"/>
        <w:jc w:val="both"/>
        <w:rPr>
          <w:rFonts w:ascii="Times New Roman" w:hAnsi="Times New Roman" w:cs="Times New Roman"/>
          <w:sz w:val="20"/>
          <w:szCs w:val="20"/>
        </w:rPr>
      </w:pPr>
    </w:p>
    <w:p w14:paraId="40A2981A" w14:textId="77777777" w:rsidR="009C0ACF" w:rsidRPr="00F43E80" w:rsidRDefault="009C0ACF" w:rsidP="00F43E80">
      <w:pPr>
        <w:tabs>
          <w:tab w:val="left" w:pos="284"/>
        </w:tabs>
        <w:ind w:right="33"/>
        <w:jc w:val="both"/>
        <w:rPr>
          <w:rFonts w:ascii="Times New Roman" w:hAnsi="Times New Roman" w:cs="Times New Roman"/>
          <w:sz w:val="20"/>
          <w:szCs w:val="20"/>
        </w:rPr>
      </w:pPr>
      <w:r w:rsidRPr="00F43E80">
        <w:rPr>
          <w:rFonts w:ascii="Times New Roman" w:hAnsi="Times New Roman" w:cs="Times New Roman"/>
          <w:sz w:val="20"/>
          <w:szCs w:val="20"/>
        </w:rPr>
        <w:t xml:space="preserve">In his judgment, </w:t>
      </w:r>
      <w:proofErr w:type="spellStart"/>
      <w:r w:rsidRPr="00F43E80">
        <w:rPr>
          <w:rFonts w:ascii="Times New Roman" w:hAnsi="Times New Roman" w:cs="Times New Roman"/>
          <w:sz w:val="20"/>
          <w:szCs w:val="20"/>
        </w:rPr>
        <w:t>Mathopo</w:t>
      </w:r>
      <w:proofErr w:type="spellEnd"/>
      <w:r w:rsidRPr="00F43E80">
        <w:rPr>
          <w:rFonts w:ascii="Times New Roman" w:hAnsi="Times New Roman" w:cs="Times New Roman"/>
          <w:sz w:val="20"/>
          <w:szCs w:val="20"/>
        </w:rPr>
        <w:t xml:space="preserve"> J held that in any proposed eviction that could render persons homeless, a process of meaningful engagement by the responsible authority is constitutionally mandated in terms of section 26(3).</w:t>
      </w:r>
      <w:r w:rsidRPr="00F43E80">
        <w:rPr>
          <w:rStyle w:val="FootnoteReference"/>
          <w:rFonts w:ascii="Times New Roman" w:hAnsi="Times New Roman" w:cs="Times New Roman"/>
          <w:sz w:val="20"/>
          <w:szCs w:val="20"/>
        </w:rPr>
        <w:footnoteReference w:id="83"/>
      </w:r>
      <w:r w:rsidRPr="00F43E80">
        <w:rPr>
          <w:rFonts w:ascii="Times New Roman" w:hAnsi="Times New Roman" w:cs="Times New Roman"/>
          <w:sz w:val="20"/>
          <w:szCs w:val="20"/>
        </w:rPr>
        <w:t xml:space="preserve"> He further asserts that the right to dignity obliges the responsible authority to engage meaningfully. </w:t>
      </w:r>
      <w:proofErr w:type="spellStart"/>
      <w:r w:rsidRPr="00F43E80">
        <w:rPr>
          <w:rFonts w:ascii="Times New Roman" w:hAnsi="Times New Roman" w:cs="Times New Roman"/>
          <w:sz w:val="20"/>
          <w:szCs w:val="20"/>
        </w:rPr>
        <w:t>Mathopo</w:t>
      </w:r>
      <w:proofErr w:type="spellEnd"/>
      <w:r w:rsidRPr="00F43E80">
        <w:rPr>
          <w:rFonts w:ascii="Times New Roman" w:hAnsi="Times New Roman" w:cs="Times New Roman"/>
          <w:sz w:val="20"/>
          <w:szCs w:val="20"/>
        </w:rPr>
        <w:t xml:space="preserve"> J held that the City’s broader vision of “spatial transformation” through its prioritisation of social housing over temporary emergency housing is a “misguided and ill-conceived project rooted in the perpetuation of spatial segregation and the infamous influx control, in an attempt to inexplicably preserve the inner city by marginalising poor persons” and is, therefore, unconstitutional.</w:t>
      </w:r>
      <w:r w:rsidRPr="00F43E80">
        <w:rPr>
          <w:rStyle w:val="FootnoteReference"/>
          <w:rFonts w:ascii="Times New Roman" w:hAnsi="Times New Roman" w:cs="Times New Roman"/>
          <w:sz w:val="20"/>
          <w:szCs w:val="20"/>
        </w:rPr>
        <w:footnoteReference w:id="84"/>
      </w:r>
      <w:r w:rsidRPr="00F43E80">
        <w:rPr>
          <w:rFonts w:ascii="Times New Roman" w:hAnsi="Times New Roman" w:cs="Times New Roman"/>
          <w:sz w:val="20"/>
          <w:szCs w:val="20"/>
        </w:rPr>
        <w:t xml:space="preserve"> </w:t>
      </w:r>
      <w:proofErr w:type="spellStart"/>
      <w:r w:rsidRPr="00F43E80">
        <w:rPr>
          <w:rFonts w:ascii="Times New Roman" w:hAnsi="Times New Roman" w:cs="Times New Roman"/>
          <w:sz w:val="20"/>
          <w:szCs w:val="20"/>
        </w:rPr>
        <w:t>Mathobo</w:t>
      </w:r>
      <w:proofErr w:type="spellEnd"/>
      <w:r w:rsidRPr="00F43E80">
        <w:rPr>
          <w:rFonts w:ascii="Times New Roman" w:hAnsi="Times New Roman" w:cs="Times New Roman"/>
          <w:sz w:val="20"/>
          <w:szCs w:val="20"/>
        </w:rPr>
        <w:t xml:space="preserve"> J held that the exclusion of emergency housing in the inner city demonstrates that the City failed to meaningfully engage with the residents. As a result, the City’s conduct falls short of the standard of reasonableness.</w:t>
      </w:r>
      <w:r w:rsidRPr="00F43E80">
        <w:rPr>
          <w:rStyle w:val="FootnoteReference"/>
          <w:rFonts w:ascii="Times New Roman" w:hAnsi="Times New Roman" w:cs="Times New Roman"/>
          <w:sz w:val="20"/>
          <w:szCs w:val="20"/>
        </w:rPr>
        <w:footnoteReference w:id="85"/>
      </w:r>
      <w:r w:rsidRPr="00F43E80">
        <w:rPr>
          <w:rFonts w:ascii="Times New Roman" w:hAnsi="Times New Roman" w:cs="Times New Roman"/>
          <w:sz w:val="20"/>
          <w:szCs w:val="20"/>
        </w:rPr>
        <w:t xml:space="preserve"> In this regard, </w:t>
      </w:r>
      <w:proofErr w:type="spellStart"/>
      <w:r w:rsidRPr="00F43E80">
        <w:rPr>
          <w:rFonts w:ascii="Times New Roman" w:hAnsi="Times New Roman" w:cs="Times New Roman"/>
          <w:sz w:val="20"/>
          <w:szCs w:val="20"/>
        </w:rPr>
        <w:t>Mathopo</w:t>
      </w:r>
      <w:proofErr w:type="spellEnd"/>
      <w:r w:rsidRPr="00F43E80">
        <w:rPr>
          <w:rFonts w:ascii="Times New Roman" w:hAnsi="Times New Roman" w:cs="Times New Roman"/>
          <w:sz w:val="20"/>
          <w:szCs w:val="20"/>
        </w:rPr>
        <w:t xml:space="preserve"> J uses the requirement of meaningful engagement to determine the reasonableness of state action. </w:t>
      </w:r>
    </w:p>
    <w:p w14:paraId="38B1F4AA"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lang w:val="en-ZA" w:eastAsia="en-GB"/>
        </w:rPr>
      </w:pPr>
    </w:p>
    <w:p w14:paraId="1E03E1B8"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lang w:val="en-ZA" w:eastAsia="en-GB"/>
        </w:rPr>
        <w:t xml:space="preserve">The </w:t>
      </w:r>
      <w:r w:rsidRPr="00F43E80">
        <w:rPr>
          <w:rFonts w:ascii="Times New Roman" w:eastAsia="Times New Roman" w:hAnsi="Times New Roman" w:cs="Times New Roman"/>
          <w:i/>
          <w:iCs/>
          <w:sz w:val="20"/>
          <w:szCs w:val="20"/>
          <w:lang w:val="en-ZA" w:eastAsia="en-GB"/>
        </w:rPr>
        <w:t>Charnell Commando</w:t>
      </w:r>
      <w:r w:rsidRPr="00F43E80">
        <w:rPr>
          <w:rFonts w:ascii="Times New Roman" w:eastAsia="Times New Roman" w:hAnsi="Times New Roman" w:cs="Times New Roman"/>
          <w:sz w:val="20"/>
          <w:szCs w:val="20"/>
          <w:lang w:val="en-ZA" w:eastAsia="en-GB"/>
        </w:rPr>
        <w:t xml:space="preserve"> eviction judgment is a landmark case that underscores the critical importance of meaningful engagement during the eviction process. T</w:t>
      </w:r>
      <w:r w:rsidRPr="00F43E80">
        <w:rPr>
          <w:rFonts w:ascii="Times New Roman" w:eastAsia="Times New Roman" w:hAnsi="Times New Roman" w:cs="Times New Roman"/>
          <w:sz w:val="20"/>
          <w:szCs w:val="20"/>
          <w:shd w:val="clear" w:color="auto" w:fill="FFFFFF"/>
          <w:lang w:val="en-ZA" w:eastAsia="en-GB"/>
        </w:rPr>
        <w:t>he ruling highlighted that meaningful engagement is essential, not only for legal compliance but also for ensuring that the voices of vulnerable populations are heard and respected during processes that significantly impact their lives.</w:t>
      </w:r>
      <w:r w:rsidRPr="00F43E80">
        <w:rPr>
          <w:rStyle w:val="FootnoteReference"/>
          <w:rFonts w:ascii="Times New Roman" w:eastAsia="Times New Roman" w:hAnsi="Times New Roman" w:cs="Times New Roman"/>
          <w:sz w:val="20"/>
          <w:szCs w:val="20"/>
          <w:shd w:val="clear" w:color="auto" w:fill="FFFFFF"/>
          <w:lang w:val="en-ZA" w:eastAsia="en-GB"/>
        </w:rPr>
        <w:footnoteReference w:id="86"/>
      </w:r>
      <w:r w:rsidRPr="00F43E80">
        <w:rPr>
          <w:rFonts w:ascii="Times New Roman" w:eastAsia="Times New Roman" w:hAnsi="Times New Roman" w:cs="Times New Roman"/>
          <w:sz w:val="20"/>
          <w:szCs w:val="20"/>
          <w:shd w:val="clear" w:color="auto" w:fill="FFFFFF"/>
          <w:lang w:val="en-ZA" w:eastAsia="en-GB"/>
        </w:rPr>
        <w:t xml:space="preserve"> Furthermore, it emphasised that meaningful engagement involves assessing the </w:t>
      </w:r>
      <w:r w:rsidRPr="00F43E80">
        <w:rPr>
          <w:rFonts w:ascii="Times New Roman" w:eastAsia="Times New Roman" w:hAnsi="Times New Roman" w:cs="Times New Roman"/>
          <w:sz w:val="20"/>
          <w:szCs w:val="20"/>
          <w:shd w:val="clear" w:color="auto" w:fill="FFFFFF"/>
          <w:lang w:val="en-ZA" w:eastAsia="en-GB"/>
        </w:rPr>
        <w:lastRenderedPageBreak/>
        <w:t>impact of eviction on residents and exploring alternative solutions that could mitigate harm.</w:t>
      </w:r>
      <w:r w:rsidRPr="00F43E80">
        <w:rPr>
          <w:rStyle w:val="FootnoteReference"/>
          <w:rFonts w:ascii="Times New Roman" w:eastAsia="Times New Roman" w:hAnsi="Times New Roman" w:cs="Times New Roman"/>
          <w:sz w:val="20"/>
          <w:szCs w:val="20"/>
          <w:shd w:val="clear" w:color="auto" w:fill="FFFFFF"/>
          <w:lang w:val="en-ZA" w:eastAsia="en-GB"/>
        </w:rPr>
        <w:footnoteReference w:id="87"/>
      </w:r>
      <w:r w:rsidRPr="00F43E80">
        <w:rPr>
          <w:rFonts w:ascii="Times New Roman" w:eastAsia="Times New Roman" w:hAnsi="Times New Roman" w:cs="Times New Roman"/>
          <w:sz w:val="20"/>
          <w:szCs w:val="20"/>
          <w:shd w:val="clear" w:color="auto" w:fill="FFFFFF"/>
          <w:lang w:val="en-ZA" w:eastAsia="en-GB"/>
        </w:rPr>
        <w:t xml:space="preserve"> The judgment serves as a reminder that engaging with residents is not merely a procedural formality but a fundamental aspect of upholding human rights and social justice.</w:t>
      </w:r>
      <w:r w:rsidRPr="00F43E80">
        <w:rPr>
          <w:rStyle w:val="FootnoteReference"/>
          <w:rFonts w:ascii="Times New Roman" w:eastAsia="Times New Roman" w:hAnsi="Times New Roman" w:cs="Times New Roman"/>
          <w:sz w:val="20"/>
          <w:szCs w:val="20"/>
          <w:shd w:val="clear" w:color="auto" w:fill="FFFFFF"/>
          <w:lang w:val="en-ZA" w:eastAsia="en-GB"/>
        </w:rPr>
        <w:footnoteReference w:id="88"/>
      </w:r>
      <w:r w:rsidRPr="00F43E80">
        <w:rPr>
          <w:rFonts w:ascii="Times New Roman" w:eastAsia="Times New Roman" w:hAnsi="Times New Roman" w:cs="Times New Roman"/>
          <w:sz w:val="20"/>
          <w:szCs w:val="20"/>
          <w:shd w:val="clear" w:color="auto" w:fill="FFFFFF"/>
          <w:lang w:val="en-ZA" w:eastAsia="en-GB"/>
        </w:rPr>
        <w:t xml:space="preserve"> </w:t>
      </w:r>
    </w:p>
    <w:p w14:paraId="15F72005"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ab/>
      </w:r>
    </w:p>
    <w:p w14:paraId="449420EE" w14:textId="696C204D" w:rsidR="009C0ACF" w:rsidRPr="00F43E80" w:rsidRDefault="009C0ACF" w:rsidP="00F43E80">
      <w:pPr>
        <w:tabs>
          <w:tab w:val="left" w:pos="284"/>
        </w:tabs>
        <w:ind w:right="33"/>
        <w:jc w:val="both"/>
        <w:rPr>
          <w:rFonts w:ascii="Times New Roman" w:eastAsia="Times New Roman" w:hAnsi="Times New Roman" w:cs="Times New Roman"/>
          <w:sz w:val="20"/>
          <w:szCs w:val="20"/>
          <w:lang w:val="en-ZA" w:eastAsia="en-GB"/>
        </w:rPr>
      </w:pPr>
      <w:r w:rsidRPr="00F43E80">
        <w:rPr>
          <w:rFonts w:ascii="Times New Roman" w:eastAsia="Times New Roman" w:hAnsi="Times New Roman" w:cs="Times New Roman"/>
          <w:sz w:val="20"/>
          <w:szCs w:val="20"/>
          <w:lang w:val="en-ZA" w:eastAsia="en-GB"/>
        </w:rPr>
        <w:t xml:space="preserve">The judgment underscores the need that </w:t>
      </w:r>
      <w:r w:rsidRPr="00F43E80">
        <w:rPr>
          <w:rFonts w:ascii="Times New Roman" w:eastAsia="Times New Roman" w:hAnsi="Times New Roman" w:cs="Times New Roman"/>
          <w:sz w:val="20"/>
          <w:szCs w:val="20"/>
          <w:shd w:val="clear" w:color="auto" w:fill="FFFFFF"/>
          <w:lang w:val="en-ZA" w:eastAsia="en-GB"/>
        </w:rPr>
        <w:t xml:space="preserve">meaningful engagement requires that authorities provide clear information about the reasons for eviction, the processes involved, and the rights of </w:t>
      </w:r>
      <w:r w:rsidR="00D94DFE" w:rsidRPr="00F43E80">
        <w:rPr>
          <w:rFonts w:ascii="Times New Roman" w:eastAsia="Times New Roman" w:hAnsi="Times New Roman" w:cs="Times New Roman"/>
          <w:sz w:val="20"/>
          <w:szCs w:val="20"/>
          <w:shd w:val="clear" w:color="auto" w:fill="FFFFFF"/>
          <w:lang w:val="en-ZA" w:eastAsia="en-GB"/>
        </w:rPr>
        <w:t>occupiers</w:t>
      </w:r>
      <w:r w:rsidRPr="00F43E80">
        <w:rPr>
          <w:rFonts w:ascii="Times New Roman" w:eastAsia="Times New Roman" w:hAnsi="Times New Roman" w:cs="Times New Roman"/>
          <w:sz w:val="20"/>
          <w:szCs w:val="20"/>
          <w:shd w:val="clear" w:color="auto" w:fill="FFFFFF"/>
          <w:lang w:val="en-ZA" w:eastAsia="en-GB"/>
        </w:rPr>
        <w:t xml:space="preserve">. In the </w:t>
      </w:r>
      <w:r w:rsidRPr="00F43E80">
        <w:rPr>
          <w:rFonts w:ascii="Times New Roman" w:eastAsia="Times New Roman" w:hAnsi="Times New Roman" w:cs="Times New Roman"/>
          <w:i/>
          <w:iCs/>
          <w:sz w:val="20"/>
          <w:szCs w:val="20"/>
          <w:shd w:val="clear" w:color="auto" w:fill="FFFFFF"/>
          <w:lang w:val="en-ZA" w:eastAsia="en-GB"/>
        </w:rPr>
        <w:t>Charnell Commando</w:t>
      </w:r>
      <w:r w:rsidRPr="00F43E80">
        <w:rPr>
          <w:rFonts w:ascii="Times New Roman" w:eastAsia="Times New Roman" w:hAnsi="Times New Roman" w:cs="Times New Roman"/>
          <w:sz w:val="20"/>
          <w:szCs w:val="20"/>
          <w:shd w:val="clear" w:color="auto" w:fill="FFFFFF"/>
          <w:lang w:val="en-ZA" w:eastAsia="en-GB"/>
        </w:rPr>
        <w:t xml:space="preserve"> case, the court found that the lack of transparency contributed to residents' feelings of powerlessness and disenfranchisement. By ensuring that residents are informed and involved, authorities can foster a sense of ownership and agency, which is crucial for maintaining social cohesion.</w:t>
      </w:r>
      <w:r w:rsidRPr="00F43E80">
        <w:rPr>
          <w:rStyle w:val="FootnoteReference"/>
          <w:rFonts w:ascii="Times New Roman" w:eastAsia="Times New Roman" w:hAnsi="Times New Roman" w:cs="Times New Roman"/>
          <w:sz w:val="20"/>
          <w:szCs w:val="20"/>
          <w:shd w:val="clear" w:color="auto" w:fill="FFFFFF"/>
          <w:lang w:val="en-ZA" w:eastAsia="en-GB"/>
        </w:rPr>
        <w:footnoteReference w:id="89"/>
      </w:r>
      <w:r w:rsidRPr="00F43E80">
        <w:rPr>
          <w:rFonts w:ascii="Times New Roman" w:eastAsia="Times New Roman" w:hAnsi="Times New Roman" w:cs="Times New Roman"/>
          <w:sz w:val="20"/>
          <w:szCs w:val="20"/>
          <w:shd w:val="clear" w:color="auto" w:fill="FFFFFF"/>
          <w:lang w:val="en-ZA" w:eastAsia="en-GB"/>
        </w:rPr>
        <w:t xml:space="preserve"> </w:t>
      </w:r>
    </w:p>
    <w:p w14:paraId="01C01E62"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lang w:val="en-ZA" w:eastAsia="en-GB"/>
        </w:rPr>
      </w:pPr>
    </w:p>
    <w:p w14:paraId="425A59DD" w14:textId="5C6CDA49"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The judgment also pointed to the necessity of involving community organisations and </w:t>
      </w:r>
      <w:r w:rsidR="00D94DFE" w:rsidRPr="00F43E80">
        <w:rPr>
          <w:rFonts w:ascii="Times New Roman" w:eastAsia="Times New Roman" w:hAnsi="Times New Roman" w:cs="Times New Roman"/>
          <w:sz w:val="20"/>
          <w:szCs w:val="20"/>
          <w:shd w:val="clear" w:color="auto" w:fill="FFFFFF"/>
          <w:lang w:val="en-ZA" w:eastAsia="en-GB"/>
        </w:rPr>
        <w:t>their lawyers</w:t>
      </w:r>
      <w:r w:rsidRPr="00F43E80">
        <w:rPr>
          <w:rFonts w:ascii="Times New Roman" w:eastAsia="Times New Roman" w:hAnsi="Times New Roman" w:cs="Times New Roman"/>
          <w:sz w:val="20"/>
          <w:szCs w:val="20"/>
          <w:shd w:val="clear" w:color="auto" w:fill="FFFFFF"/>
          <w:lang w:val="en-ZA" w:eastAsia="en-GB"/>
        </w:rPr>
        <w:t xml:space="preserve"> in the engagement process. The court recognised that residents often lack the resources and knowledge to navigate complex legal and bureaucratic systems on their own. Engaging with local organisations can provide residents with the support they need to articulate their concerns and negotiate with authorities effectively. This collaborative approach not only empowers residents but also enhances the legitimacy of the eviction process.</w:t>
      </w:r>
      <w:r w:rsidRPr="00F43E80">
        <w:rPr>
          <w:rStyle w:val="FootnoteReference"/>
          <w:rFonts w:ascii="Times New Roman" w:eastAsia="Times New Roman" w:hAnsi="Times New Roman" w:cs="Times New Roman"/>
          <w:sz w:val="20"/>
          <w:szCs w:val="20"/>
          <w:shd w:val="clear" w:color="auto" w:fill="FFFFFF"/>
          <w:lang w:val="en-ZA" w:eastAsia="en-GB"/>
        </w:rPr>
        <w:footnoteReference w:id="90"/>
      </w:r>
      <w:r w:rsidRPr="00F43E80">
        <w:rPr>
          <w:rFonts w:ascii="Times New Roman" w:eastAsia="Times New Roman" w:hAnsi="Times New Roman" w:cs="Times New Roman"/>
          <w:sz w:val="20"/>
          <w:szCs w:val="20"/>
          <w:shd w:val="clear" w:color="auto" w:fill="FFFFFF"/>
          <w:lang w:val="en-ZA" w:eastAsia="en-GB"/>
        </w:rPr>
        <w:t xml:space="preserve"> </w:t>
      </w:r>
    </w:p>
    <w:p w14:paraId="1F3638F9" w14:textId="77777777" w:rsidR="009C0ACF" w:rsidRPr="00F43E80" w:rsidRDefault="009C0ACF" w:rsidP="00F43E80">
      <w:pPr>
        <w:tabs>
          <w:tab w:val="left" w:pos="284"/>
        </w:tabs>
        <w:ind w:right="33"/>
        <w:jc w:val="both"/>
        <w:rPr>
          <w:rFonts w:ascii="Times New Roman" w:eastAsia="Times New Roman" w:hAnsi="Times New Roman" w:cs="Times New Roman"/>
          <w:b/>
          <w:bCs/>
          <w:sz w:val="20"/>
          <w:szCs w:val="20"/>
          <w:shd w:val="clear" w:color="auto" w:fill="FFFFFF"/>
          <w:lang w:val="en-ZA" w:eastAsia="en-GB"/>
        </w:rPr>
      </w:pPr>
    </w:p>
    <w:p w14:paraId="7E347016" w14:textId="392E6F22" w:rsidR="009C0ACF" w:rsidRPr="00F43E80" w:rsidRDefault="009C0ACF" w:rsidP="00F43E80">
      <w:pPr>
        <w:tabs>
          <w:tab w:val="left" w:pos="284"/>
        </w:tabs>
        <w:ind w:right="33"/>
        <w:jc w:val="both"/>
        <w:rPr>
          <w:rFonts w:ascii="Times New Roman" w:eastAsia="Times New Roman" w:hAnsi="Times New Roman" w:cs="Times New Roman"/>
          <w:b/>
          <w:bCs/>
          <w:sz w:val="20"/>
          <w:szCs w:val="20"/>
          <w:shd w:val="clear" w:color="auto" w:fill="FFFFFF"/>
          <w:lang w:val="en-ZA" w:eastAsia="en-GB"/>
        </w:rPr>
      </w:pPr>
      <w:r w:rsidRPr="00F43E80">
        <w:rPr>
          <w:rFonts w:ascii="Times New Roman" w:eastAsia="Times New Roman" w:hAnsi="Times New Roman" w:cs="Times New Roman"/>
          <w:b/>
          <w:bCs/>
          <w:sz w:val="20"/>
          <w:szCs w:val="20"/>
          <w:shd w:val="clear" w:color="auto" w:fill="FFFFFF"/>
          <w:lang w:val="en-ZA" w:eastAsia="en-GB"/>
        </w:rPr>
        <w:t>6</w:t>
      </w:r>
      <w:r w:rsidRPr="00F43E80">
        <w:rPr>
          <w:rFonts w:ascii="Times New Roman" w:eastAsia="Times New Roman" w:hAnsi="Times New Roman" w:cs="Times New Roman"/>
          <w:b/>
          <w:bCs/>
          <w:sz w:val="20"/>
          <w:szCs w:val="20"/>
          <w:shd w:val="clear" w:color="auto" w:fill="FFFFFF"/>
          <w:lang w:val="en-ZA" w:eastAsia="en-GB"/>
        </w:rPr>
        <w:tab/>
      </w:r>
      <w:r w:rsidR="00D94DFE" w:rsidRPr="00F43E80">
        <w:rPr>
          <w:rFonts w:ascii="Times New Roman" w:eastAsia="Times New Roman" w:hAnsi="Times New Roman" w:cs="Times New Roman"/>
          <w:b/>
          <w:bCs/>
          <w:sz w:val="20"/>
          <w:szCs w:val="20"/>
          <w:shd w:val="clear" w:color="auto" w:fill="FFFFFF"/>
          <w:lang w:val="en-ZA" w:eastAsia="en-GB"/>
        </w:rPr>
        <w:t>THE INCONSISTENT CONCEPTUALISATION AS DEPICTED IN CASE LAW</w:t>
      </w:r>
    </w:p>
    <w:p w14:paraId="3CBCEEB5"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This article demonstrates that the conceptual ambiguity regarding meaningful engagement during evictions results in differentiated understandings that can be organised into three categories. Conceptual ambiguity is not unusual in jurisprudence, as any initiative to develop jurisprudential doctrines in adjudicating polycentric socio-economic rights is not linear as there will commonly be a lack of clarity in the interpretation of the new doctrines to actualise the transformative vision of the Constitution. In </w:t>
      </w:r>
      <w:r w:rsidRPr="00F43E80">
        <w:rPr>
          <w:rFonts w:ascii="Times New Roman" w:eastAsia="Times New Roman" w:hAnsi="Times New Roman" w:cs="Times New Roman"/>
          <w:i/>
          <w:iCs/>
          <w:sz w:val="20"/>
          <w:szCs w:val="20"/>
          <w:shd w:val="clear" w:color="auto" w:fill="FFFFFF"/>
          <w:lang w:val="en-ZA" w:eastAsia="en-GB"/>
        </w:rPr>
        <w:t xml:space="preserve">Occupiers of 51 Olivia </w:t>
      </w:r>
      <w:r w:rsidRPr="00F43E80">
        <w:rPr>
          <w:rFonts w:ascii="Times New Roman" w:eastAsia="Times New Roman" w:hAnsi="Times New Roman" w:cs="Times New Roman"/>
          <w:sz w:val="20"/>
          <w:szCs w:val="20"/>
          <w:shd w:val="clear" w:color="auto" w:fill="FFFFFF"/>
          <w:lang w:val="en-ZA" w:eastAsia="en-GB"/>
        </w:rPr>
        <w:t>and</w:t>
      </w:r>
      <w:r w:rsidRPr="00F43E80">
        <w:rPr>
          <w:rFonts w:ascii="Times New Roman" w:eastAsia="Times New Roman" w:hAnsi="Times New Roman" w:cs="Times New Roman"/>
          <w:i/>
          <w:iCs/>
          <w:sz w:val="20"/>
          <w:szCs w:val="20"/>
          <w:shd w:val="clear" w:color="auto" w:fill="FFFFFF"/>
          <w:lang w:val="en-ZA" w:eastAsia="en-GB"/>
        </w:rPr>
        <w:t xml:space="preserve"> PE Municipality</w:t>
      </w:r>
      <w:r w:rsidRPr="00F43E80">
        <w:rPr>
          <w:rFonts w:ascii="Times New Roman" w:eastAsia="Times New Roman" w:hAnsi="Times New Roman" w:cs="Times New Roman"/>
          <w:sz w:val="20"/>
          <w:szCs w:val="20"/>
          <w:shd w:val="clear" w:color="auto" w:fill="FFFFFF"/>
          <w:lang w:val="en-ZA" w:eastAsia="en-GB"/>
        </w:rPr>
        <w:t>,</w:t>
      </w:r>
      <w:r w:rsidRPr="00F43E80">
        <w:rPr>
          <w:rFonts w:ascii="Times New Roman" w:eastAsia="Times New Roman" w:hAnsi="Times New Roman" w:cs="Times New Roman"/>
          <w:i/>
          <w:iCs/>
          <w:sz w:val="20"/>
          <w:szCs w:val="20"/>
          <w:shd w:val="clear" w:color="auto" w:fill="FFFFFF"/>
          <w:lang w:val="en-ZA" w:eastAsia="en-GB"/>
        </w:rPr>
        <w:t xml:space="preserve"> </w:t>
      </w:r>
      <w:r w:rsidRPr="00F43E80">
        <w:rPr>
          <w:rFonts w:ascii="Times New Roman" w:eastAsia="Times New Roman" w:hAnsi="Times New Roman" w:cs="Times New Roman"/>
          <w:sz w:val="20"/>
          <w:szCs w:val="20"/>
          <w:shd w:val="clear" w:color="auto" w:fill="FFFFFF"/>
          <w:lang w:val="en-ZA" w:eastAsia="en-GB"/>
        </w:rPr>
        <w:t>the Constitutional Court emphasised the importance of the substantive safeguards of meaningful engagement, such as genuine dialogue, which is accompanied by open and respectful communication, inclusive participation by actively seeking to incorporate diverse perspectives, transparency through bottom-up decision-making processes, shared understanding through fostering collaboration, and accountability through taking collective ownership of actions and decisions. This transformative conceptualisation empowered the vulnerable occupiers.</w:t>
      </w:r>
    </w:p>
    <w:p w14:paraId="371E7331"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p>
    <w:p w14:paraId="2635E5AF"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The strides made with the transformative conceptualisation of meaningful engagement were reversed by the regressive posture in </w:t>
      </w:r>
      <w:r w:rsidRPr="00F43E80">
        <w:rPr>
          <w:rFonts w:ascii="Times New Roman" w:hAnsi="Times New Roman" w:cs="Times New Roman"/>
          <w:i/>
          <w:sz w:val="20"/>
          <w:szCs w:val="20"/>
        </w:rPr>
        <w:t>Residents of Joe Slovo</w:t>
      </w:r>
      <w:r w:rsidRPr="00F43E80">
        <w:rPr>
          <w:rFonts w:ascii="Times New Roman" w:hAnsi="Times New Roman" w:cs="Times New Roman"/>
          <w:sz w:val="20"/>
          <w:szCs w:val="20"/>
        </w:rPr>
        <w:t xml:space="preserve">, </w:t>
      </w:r>
      <w:r w:rsidRPr="00F43E80">
        <w:rPr>
          <w:rFonts w:ascii="Times New Roman" w:hAnsi="Times New Roman" w:cs="Times New Roman"/>
          <w:i/>
          <w:sz w:val="20"/>
          <w:szCs w:val="20"/>
        </w:rPr>
        <w:t xml:space="preserve">Occupiers of </w:t>
      </w:r>
      <w:proofErr w:type="spellStart"/>
      <w:r w:rsidRPr="00F43E80">
        <w:rPr>
          <w:rFonts w:ascii="Times New Roman" w:hAnsi="Times New Roman" w:cs="Times New Roman"/>
          <w:i/>
          <w:sz w:val="20"/>
          <w:szCs w:val="20"/>
        </w:rPr>
        <w:t>Skurweplaas</w:t>
      </w:r>
      <w:proofErr w:type="spellEnd"/>
      <w:r w:rsidRPr="00F43E80">
        <w:rPr>
          <w:rFonts w:ascii="Times New Roman" w:hAnsi="Times New Roman" w:cs="Times New Roman"/>
          <w:sz w:val="20"/>
          <w:szCs w:val="20"/>
        </w:rPr>
        <w:t xml:space="preserve"> </w:t>
      </w:r>
      <w:r w:rsidRPr="00F43E80">
        <w:rPr>
          <w:rFonts w:ascii="Times New Roman" w:hAnsi="Times New Roman" w:cs="Times New Roman"/>
          <w:iCs/>
          <w:sz w:val="20"/>
          <w:szCs w:val="20"/>
        </w:rPr>
        <w:t xml:space="preserve">and </w:t>
      </w:r>
      <w:r w:rsidRPr="00F43E80">
        <w:rPr>
          <w:rFonts w:ascii="Times New Roman" w:hAnsi="Times New Roman" w:cs="Times New Roman"/>
          <w:i/>
          <w:sz w:val="20"/>
          <w:szCs w:val="20"/>
        </w:rPr>
        <w:t xml:space="preserve">Occupiers of Saratoga Avenue. </w:t>
      </w:r>
      <w:r w:rsidRPr="00F43E80">
        <w:rPr>
          <w:rFonts w:ascii="Times New Roman" w:hAnsi="Times New Roman" w:cs="Times New Roman"/>
          <w:sz w:val="20"/>
          <w:szCs w:val="20"/>
        </w:rPr>
        <w:t xml:space="preserve">The regressive conceptualisation of meaningful engagement places a high premium on procedural safeguards of meaningful engagement, such as the number of meetings convened and whether the occupiers were issued with formal notices on time. </w:t>
      </w:r>
      <w:proofErr w:type="spellStart"/>
      <w:r w:rsidRPr="00F43E80">
        <w:rPr>
          <w:rFonts w:ascii="Times New Roman" w:hAnsi="Times New Roman" w:cs="Times New Roman"/>
          <w:iCs/>
          <w:sz w:val="20"/>
          <w:szCs w:val="20"/>
        </w:rPr>
        <w:t>Proceduralisation</w:t>
      </w:r>
      <w:proofErr w:type="spellEnd"/>
      <w:r w:rsidRPr="00F43E80">
        <w:rPr>
          <w:rFonts w:ascii="Times New Roman" w:hAnsi="Times New Roman" w:cs="Times New Roman"/>
          <w:iCs/>
          <w:sz w:val="20"/>
          <w:szCs w:val="20"/>
        </w:rPr>
        <w:t xml:space="preserve"> of meaningful engagement disempowers the occupiers and exposes them to tokenistic forms of participation, which are superficial or symbolic involvement without genuine consideration of the inputs of the unlawful occupiers. Such </w:t>
      </w:r>
      <w:proofErr w:type="spellStart"/>
      <w:r w:rsidRPr="00F43E80">
        <w:rPr>
          <w:rFonts w:ascii="Times New Roman" w:hAnsi="Times New Roman" w:cs="Times New Roman"/>
          <w:iCs/>
          <w:sz w:val="20"/>
          <w:szCs w:val="20"/>
        </w:rPr>
        <w:t>proceduralisation</w:t>
      </w:r>
      <w:proofErr w:type="spellEnd"/>
      <w:r w:rsidRPr="00F43E80">
        <w:rPr>
          <w:rFonts w:ascii="Times New Roman" w:hAnsi="Times New Roman" w:cs="Times New Roman"/>
          <w:iCs/>
          <w:sz w:val="20"/>
          <w:szCs w:val="20"/>
        </w:rPr>
        <w:t xml:space="preserve"> lacks transparency</w:t>
      </w:r>
      <w:r w:rsidRPr="00F43E80">
        <w:rPr>
          <w:rFonts w:ascii="Times New Roman" w:hAnsi="Times New Roman" w:cs="Times New Roman"/>
          <w:i/>
          <w:sz w:val="20"/>
          <w:szCs w:val="20"/>
        </w:rPr>
        <w:t xml:space="preserve"> </w:t>
      </w:r>
      <w:r w:rsidRPr="00F43E80">
        <w:rPr>
          <w:rFonts w:ascii="Times New Roman" w:hAnsi="Times New Roman" w:cs="Times New Roman"/>
          <w:iCs/>
          <w:sz w:val="20"/>
          <w:szCs w:val="20"/>
        </w:rPr>
        <w:t xml:space="preserve">due to inadequate information sharing or unclear decision-making processes, disregards diverse needs due to the failure to consider the unique needs and concerns of the unlawful occupiers, and is a top-down approach marked by the imposition of decisions without genuine engagement or consideration of the relevant circumstances of the unlawful occupiers. </w:t>
      </w:r>
    </w:p>
    <w:p w14:paraId="7CB93DF7"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p>
    <w:p w14:paraId="698B334D"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The shift away from the regressive conceptualisation to the revived transformative conceptualisation was evident in the groundbreaking </w:t>
      </w:r>
      <w:r w:rsidRPr="00F43E80">
        <w:rPr>
          <w:rFonts w:ascii="Times New Roman" w:eastAsia="Times New Roman" w:hAnsi="Times New Roman" w:cs="Times New Roman"/>
          <w:i/>
          <w:iCs/>
          <w:sz w:val="20"/>
          <w:szCs w:val="20"/>
          <w:shd w:val="clear" w:color="auto" w:fill="FFFFFF"/>
          <w:lang w:val="en-ZA" w:eastAsia="en-GB"/>
        </w:rPr>
        <w:t>Charnell Commando</w:t>
      </w:r>
      <w:r w:rsidRPr="00F43E80">
        <w:rPr>
          <w:rFonts w:ascii="Times New Roman" w:eastAsia="Times New Roman" w:hAnsi="Times New Roman" w:cs="Times New Roman"/>
          <w:sz w:val="20"/>
          <w:szCs w:val="20"/>
          <w:shd w:val="clear" w:color="auto" w:fill="FFFFFF"/>
          <w:lang w:val="en-ZA" w:eastAsia="en-GB"/>
        </w:rPr>
        <w:t xml:space="preserve"> judgment, which highlights the ethical dimensions of eviction practices and the importance of meaningful engagement. The Court's ruling calls on all authorities to adopt a more compassionate and humane approach to evictions. Meaningful engagement is not only about fulfilling legal obligations; it is also about recognising the dignity and humanity of individuals facing displacement. The judgment stressed that authorities must strive to understand the lived experiences of residents and consider their perspectives in decision-making processes.</w:t>
      </w:r>
    </w:p>
    <w:p w14:paraId="1C3BF382" w14:textId="77777777" w:rsidR="009C0ACF" w:rsidRPr="00F43E80" w:rsidRDefault="009C0ACF" w:rsidP="00F43E80">
      <w:pPr>
        <w:tabs>
          <w:tab w:val="left" w:pos="284"/>
        </w:tabs>
        <w:ind w:right="33"/>
        <w:jc w:val="both"/>
        <w:rPr>
          <w:rFonts w:ascii="Times New Roman" w:eastAsia="Times New Roman" w:hAnsi="Times New Roman" w:cs="Times New Roman"/>
          <w:sz w:val="20"/>
          <w:szCs w:val="20"/>
          <w:lang w:val="en-ZA" w:eastAsia="en-GB"/>
        </w:rPr>
      </w:pPr>
    </w:p>
    <w:p w14:paraId="17C527CC" w14:textId="587A74D4" w:rsidR="00D94DFE" w:rsidRPr="00F43E80" w:rsidRDefault="00D94DFE" w:rsidP="00F43E80">
      <w:pPr>
        <w:tabs>
          <w:tab w:val="left" w:pos="284"/>
        </w:tabs>
        <w:ind w:right="33"/>
        <w:jc w:val="both"/>
        <w:rPr>
          <w:rFonts w:ascii="Times New Roman" w:eastAsia="Times New Roman" w:hAnsi="Times New Roman" w:cs="Times New Roman"/>
          <w:b/>
          <w:bCs/>
          <w:sz w:val="20"/>
          <w:szCs w:val="20"/>
          <w:lang w:val="en-ZA" w:eastAsia="en-GB"/>
        </w:rPr>
      </w:pPr>
      <w:r w:rsidRPr="00F43E80">
        <w:rPr>
          <w:rFonts w:ascii="Times New Roman" w:eastAsia="Times New Roman" w:hAnsi="Times New Roman" w:cs="Times New Roman"/>
          <w:b/>
          <w:bCs/>
          <w:sz w:val="20"/>
          <w:szCs w:val="20"/>
          <w:lang w:val="en-ZA" w:eastAsia="en-GB"/>
        </w:rPr>
        <w:t>7</w:t>
      </w:r>
      <w:r w:rsidRPr="00F43E80">
        <w:rPr>
          <w:rFonts w:ascii="Times New Roman" w:eastAsia="Times New Roman" w:hAnsi="Times New Roman" w:cs="Times New Roman"/>
          <w:sz w:val="20"/>
          <w:szCs w:val="20"/>
          <w:lang w:val="en-ZA" w:eastAsia="en-GB"/>
        </w:rPr>
        <w:tab/>
      </w:r>
      <w:proofErr w:type="gramStart"/>
      <w:r w:rsidRPr="00F43E80">
        <w:rPr>
          <w:rFonts w:ascii="Times New Roman" w:eastAsia="Times New Roman" w:hAnsi="Times New Roman" w:cs="Times New Roman"/>
          <w:b/>
          <w:bCs/>
          <w:sz w:val="20"/>
          <w:szCs w:val="20"/>
          <w:lang w:val="en-ZA" w:eastAsia="en-GB"/>
        </w:rPr>
        <w:t>CONCLUSION</w:t>
      </w:r>
      <w:proofErr w:type="gramEnd"/>
      <w:r w:rsidRPr="00F43E80">
        <w:rPr>
          <w:rFonts w:ascii="Times New Roman" w:eastAsia="Times New Roman" w:hAnsi="Times New Roman" w:cs="Times New Roman"/>
          <w:b/>
          <w:bCs/>
          <w:sz w:val="20"/>
          <w:szCs w:val="20"/>
          <w:lang w:val="en-ZA" w:eastAsia="en-GB"/>
        </w:rPr>
        <w:t xml:space="preserve"> </w:t>
      </w:r>
    </w:p>
    <w:p w14:paraId="0A8C6FC8" w14:textId="77777777" w:rsidR="00ED0D0C" w:rsidRPr="00F43E80" w:rsidRDefault="00556100"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Through deep analysis of eviction judgments </w:t>
      </w:r>
      <w:proofErr w:type="gramStart"/>
      <w:r w:rsidRPr="00F43E80">
        <w:rPr>
          <w:rFonts w:ascii="Times New Roman" w:eastAsia="Times New Roman" w:hAnsi="Times New Roman" w:cs="Times New Roman"/>
          <w:sz w:val="20"/>
          <w:szCs w:val="20"/>
          <w:shd w:val="clear" w:color="auto" w:fill="FFFFFF"/>
          <w:lang w:val="en-ZA" w:eastAsia="en-GB"/>
        </w:rPr>
        <w:t>this articles</w:t>
      </w:r>
      <w:proofErr w:type="gramEnd"/>
      <w:r w:rsidRPr="00F43E80">
        <w:rPr>
          <w:rFonts w:ascii="Times New Roman" w:eastAsia="Times New Roman" w:hAnsi="Times New Roman" w:cs="Times New Roman"/>
          <w:sz w:val="20"/>
          <w:szCs w:val="20"/>
          <w:shd w:val="clear" w:color="auto" w:fill="FFFFFF"/>
          <w:lang w:val="en-ZA" w:eastAsia="en-GB"/>
        </w:rPr>
        <w:t xml:space="preserve"> demonstrates that there are three conceptual approaches to meaningful engagement by the Constitutional Court, which are the transformative conceptualisation, regressive conceptualisation and revitalised transformative conceptualisation. The article argues that meaningful engagement </w:t>
      </w:r>
      <w:r w:rsidR="00ED0D0C" w:rsidRPr="00F43E80">
        <w:rPr>
          <w:rFonts w:ascii="Times New Roman" w:eastAsia="Times New Roman" w:hAnsi="Times New Roman" w:cs="Times New Roman"/>
          <w:sz w:val="20"/>
          <w:szCs w:val="20"/>
          <w:shd w:val="clear" w:color="auto" w:fill="FFFFFF"/>
          <w:lang w:val="en-ZA" w:eastAsia="en-GB"/>
        </w:rPr>
        <w:t xml:space="preserve">was primarily intended to offer both procedural and substantive safeguards and for the vulnerable occupiers to protect their right against arbitrary eviction. The substantive safeguards, include equitable participation of the unlawful occupiers during evictions. The form of participation allows for bottom-up decision-making process in the consideration of all the relevant circumstances of the occupiers.  </w:t>
      </w:r>
    </w:p>
    <w:p w14:paraId="087647DB" w14:textId="77777777" w:rsidR="00ED0D0C" w:rsidRPr="00F43E80" w:rsidRDefault="00ED0D0C"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p>
    <w:p w14:paraId="4D7EE322" w14:textId="02448EA3" w:rsidR="00ED0D0C" w:rsidRPr="00F43E80" w:rsidRDefault="00ED0D0C"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lastRenderedPageBreak/>
        <w:t>Transformative</w:t>
      </w:r>
      <w:r w:rsidR="00556100" w:rsidRPr="00F43E80">
        <w:rPr>
          <w:rFonts w:ascii="Times New Roman" w:eastAsia="Times New Roman" w:hAnsi="Times New Roman" w:cs="Times New Roman"/>
          <w:sz w:val="20"/>
          <w:szCs w:val="20"/>
          <w:shd w:val="clear" w:color="auto" w:fill="FFFFFF"/>
          <w:lang w:val="en-ZA" w:eastAsia="en-GB"/>
        </w:rPr>
        <w:t xml:space="preserve"> conceptualisation </w:t>
      </w:r>
      <w:r w:rsidRPr="00F43E80">
        <w:rPr>
          <w:rFonts w:ascii="Times New Roman" w:eastAsia="Times New Roman" w:hAnsi="Times New Roman" w:cs="Times New Roman"/>
          <w:sz w:val="20"/>
          <w:szCs w:val="20"/>
          <w:shd w:val="clear" w:color="auto" w:fill="FFFFFF"/>
          <w:lang w:val="en-ZA" w:eastAsia="en-GB"/>
        </w:rPr>
        <w:t>strikes a fair balance</w:t>
      </w:r>
      <w:r w:rsidR="00556100" w:rsidRPr="00F43E80">
        <w:rPr>
          <w:rFonts w:ascii="Times New Roman" w:eastAsia="Times New Roman" w:hAnsi="Times New Roman" w:cs="Times New Roman"/>
          <w:sz w:val="20"/>
          <w:szCs w:val="20"/>
          <w:shd w:val="clear" w:color="auto" w:fill="FFFFFF"/>
          <w:lang w:val="en-ZA" w:eastAsia="en-GB"/>
        </w:rPr>
        <w:t xml:space="preserve"> between the procedural and substantive requirements of meaningful engagement</w:t>
      </w:r>
      <w:r w:rsidRPr="00F43E80">
        <w:rPr>
          <w:rFonts w:ascii="Times New Roman" w:eastAsia="Times New Roman" w:hAnsi="Times New Roman" w:cs="Times New Roman"/>
          <w:sz w:val="20"/>
          <w:szCs w:val="20"/>
          <w:shd w:val="clear" w:color="auto" w:fill="FFFFFF"/>
          <w:lang w:val="en-ZA" w:eastAsia="en-GB"/>
        </w:rPr>
        <w:t xml:space="preserve"> and is the most desirable conceptualisation. On the contrary, the regressive conceptualisation places more emphasis of procedural requirements, such as issuing of </w:t>
      </w:r>
      <w:r w:rsidR="00F409C7" w:rsidRPr="00F43E80">
        <w:rPr>
          <w:rFonts w:ascii="Times New Roman" w:eastAsia="Times New Roman" w:hAnsi="Times New Roman" w:cs="Times New Roman"/>
          <w:sz w:val="20"/>
          <w:szCs w:val="20"/>
          <w:shd w:val="clear" w:color="auto" w:fill="FFFFFF"/>
          <w:lang w:val="en-ZA" w:eastAsia="en-GB"/>
        </w:rPr>
        <w:t xml:space="preserve">written </w:t>
      </w:r>
      <w:r w:rsidRPr="00F43E80">
        <w:rPr>
          <w:rFonts w:ascii="Times New Roman" w:eastAsia="Times New Roman" w:hAnsi="Times New Roman" w:cs="Times New Roman"/>
          <w:sz w:val="20"/>
          <w:szCs w:val="20"/>
          <w:shd w:val="clear" w:color="auto" w:fill="FFFFFF"/>
          <w:lang w:val="en-ZA" w:eastAsia="en-GB"/>
        </w:rPr>
        <w:t xml:space="preserve">notices, timeous </w:t>
      </w:r>
      <w:r w:rsidR="00F409C7" w:rsidRPr="00F43E80">
        <w:rPr>
          <w:rFonts w:ascii="Times New Roman" w:eastAsia="Times New Roman" w:hAnsi="Times New Roman" w:cs="Times New Roman"/>
          <w:sz w:val="20"/>
          <w:szCs w:val="20"/>
          <w:shd w:val="clear" w:color="auto" w:fill="FFFFFF"/>
          <w:lang w:val="en-ZA" w:eastAsia="en-GB"/>
        </w:rPr>
        <w:t xml:space="preserve">delivery of notices, consultations or eviction hearing, the presence of the occupiers at court to exercise their right to defend themselves. It is demonstrated in this </w:t>
      </w:r>
      <w:proofErr w:type="gramStart"/>
      <w:r w:rsidR="00F409C7" w:rsidRPr="00F43E80">
        <w:rPr>
          <w:rFonts w:ascii="Times New Roman" w:eastAsia="Times New Roman" w:hAnsi="Times New Roman" w:cs="Times New Roman"/>
          <w:sz w:val="20"/>
          <w:szCs w:val="20"/>
          <w:shd w:val="clear" w:color="auto" w:fill="FFFFFF"/>
          <w:lang w:val="en-ZA" w:eastAsia="en-GB"/>
        </w:rPr>
        <w:t>article  demonstrated</w:t>
      </w:r>
      <w:proofErr w:type="gramEnd"/>
      <w:r w:rsidR="00F409C7" w:rsidRPr="00F43E80">
        <w:rPr>
          <w:rFonts w:ascii="Times New Roman" w:eastAsia="Times New Roman" w:hAnsi="Times New Roman" w:cs="Times New Roman"/>
          <w:sz w:val="20"/>
          <w:szCs w:val="20"/>
          <w:shd w:val="clear" w:color="auto" w:fill="FFFFFF"/>
          <w:lang w:val="en-ZA" w:eastAsia="en-GB"/>
        </w:rPr>
        <w:t xml:space="preserve"> that </w:t>
      </w:r>
      <w:proofErr w:type="gramStart"/>
      <w:r w:rsidR="00F409C7" w:rsidRPr="00F43E80">
        <w:rPr>
          <w:rFonts w:ascii="Times New Roman" w:eastAsia="Times New Roman" w:hAnsi="Times New Roman" w:cs="Times New Roman"/>
          <w:sz w:val="20"/>
          <w:szCs w:val="20"/>
          <w:shd w:val="clear" w:color="auto" w:fill="FFFFFF"/>
          <w:lang w:val="en-ZA" w:eastAsia="en-GB"/>
        </w:rPr>
        <w:t xml:space="preserve">regressive </w:t>
      </w:r>
      <w:r w:rsidRPr="00F43E80">
        <w:rPr>
          <w:rFonts w:ascii="Times New Roman" w:eastAsia="Times New Roman" w:hAnsi="Times New Roman" w:cs="Times New Roman"/>
          <w:sz w:val="20"/>
          <w:szCs w:val="20"/>
          <w:shd w:val="clear" w:color="auto" w:fill="FFFFFF"/>
          <w:lang w:val="en-ZA" w:eastAsia="en-GB"/>
        </w:rPr>
        <w:t xml:space="preserve"> </w:t>
      </w:r>
      <w:r w:rsidR="00F409C7" w:rsidRPr="00F43E80">
        <w:rPr>
          <w:rFonts w:ascii="Times New Roman" w:eastAsia="Times New Roman" w:hAnsi="Times New Roman" w:cs="Times New Roman"/>
          <w:sz w:val="20"/>
          <w:szCs w:val="20"/>
          <w:shd w:val="clear" w:color="auto" w:fill="FFFFFF"/>
          <w:lang w:val="en-ZA" w:eastAsia="en-GB"/>
        </w:rPr>
        <w:t>conceptualisation</w:t>
      </w:r>
      <w:proofErr w:type="gramEnd"/>
      <w:r w:rsidR="00F409C7" w:rsidRPr="00F43E80">
        <w:rPr>
          <w:rFonts w:ascii="Times New Roman" w:eastAsia="Times New Roman" w:hAnsi="Times New Roman" w:cs="Times New Roman"/>
          <w:sz w:val="20"/>
          <w:szCs w:val="20"/>
          <w:shd w:val="clear" w:color="auto" w:fill="FFFFFF"/>
          <w:lang w:val="en-ZA" w:eastAsia="en-GB"/>
        </w:rPr>
        <w:t xml:space="preserve"> </w:t>
      </w:r>
      <w:r w:rsidRPr="00F43E80">
        <w:rPr>
          <w:rFonts w:ascii="Times New Roman" w:eastAsia="Times New Roman" w:hAnsi="Times New Roman" w:cs="Times New Roman"/>
          <w:sz w:val="20"/>
          <w:szCs w:val="20"/>
          <w:shd w:val="clear" w:color="auto" w:fill="FFFFFF"/>
          <w:lang w:val="en-ZA" w:eastAsia="en-GB"/>
        </w:rPr>
        <w:t xml:space="preserve">allows for issuing of eviction orders without equitable participation </w:t>
      </w:r>
      <w:r w:rsidR="00F409C7" w:rsidRPr="00F43E80">
        <w:rPr>
          <w:rFonts w:ascii="Times New Roman" w:eastAsia="Times New Roman" w:hAnsi="Times New Roman" w:cs="Times New Roman"/>
          <w:sz w:val="20"/>
          <w:szCs w:val="20"/>
          <w:shd w:val="clear" w:color="auto" w:fill="FFFFFF"/>
          <w:lang w:val="en-ZA" w:eastAsia="en-GB"/>
        </w:rPr>
        <w:t xml:space="preserve">of the unlawful occupiers, thereby exposing the unlawful occupiers to displacements which are reminiscent of apartheid-style evictions. </w:t>
      </w:r>
    </w:p>
    <w:p w14:paraId="42F9703C" w14:textId="08F98320" w:rsidR="009C0ACF" w:rsidRDefault="009C0ACF" w:rsidP="00F43E80">
      <w:pPr>
        <w:tabs>
          <w:tab w:val="left" w:pos="284"/>
        </w:tabs>
        <w:ind w:right="33"/>
        <w:jc w:val="both"/>
        <w:rPr>
          <w:rFonts w:ascii="Times New Roman" w:eastAsia="Times New Roman" w:hAnsi="Times New Roman" w:cs="Times New Roman"/>
          <w:sz w:val="20"/>
          <w:szCs w:val="20"/>
          <w:shd w:val="clear" w:color="auto" w:fill="FFFFFF"/>
          <w:lang w:val="en-ZA" w:eastAsia="en-GB"/>
        </w:rPr>
      </w:pPr>
      <w:r w:rsidRPr="00F43E80">
        <w:rPr>
          <w:rFonts w:ascii="Times New Roman" w:eastAsia="Times New Roman" w:hAnsi="Times New Roman" w:cs="Times New Roman"/>
          <w:sz w:val="20"/>
          <w:szCs w:val="20"/>
          <w:shd w:val="clear" w:color="auto" w:fill="FFFFFF"/>
          <w:lang w:val="en-ZA" w:eastAsia="en-GB"/>
        </w:rPr>
        <w:t xml:space="preserve">The </w:t>
      </w:r>
      <w:r w:rsidR="002D0DB8" w:rsidRPr="00F43E80">
        <w:rPr>
          <w:rFonts w:ascii="Times New Roman" w:eastAsia="Times New Roman" w:hAnsi="Times New Roman" w:cs="Times New Roman"/>
          <w:i/>
          <w:iCs/>
          <w:sz w:val="20"/>
          <w:szCs w:val="20"/>
          <w:shd w:val="clear" w:color="auto" w:fill="FFFFFF"/>
          <w:lang w:val="en-ZA" w:eastAsia="en-GB"/>
        </w:rPr>
        <w:t>Charnell Commando</w:t>
      </w:r>
      <w:r w:rsidR="002D0DB8" w:rsidRPr="00F43E80">
        <w:rPr>
          <w:rFonts w:ascii="Times New Roman" w:eastAsia="Times New Roman" w:hAnsi="Times New Roman" w:cs="Times New Roman"/>
          <w:sz w:val="20"/>
          <w:szCs w:val="20"/>
          <w:shd w:val="clear" w:color="auto" w:fill="FFFFFF"/>
          <w:lang w:val="en-ZA" w:eastAsia="en-GB"/>
        </w:rPr>
        <w:t xml:space="preserve"> judgment represents the reinvigorated transformative conceptualisation. This conceptual approach </w:t>
      </w:r>
      <w:r w:rsidR="00F409C7" w:rsidRPr="00F43E80">
        <w:rPr>
          <w:rFonts w:ascii="Times New Roman" w:eastAsia="Times New Roman" w:hAnsi="Times New Roman" w:cs="Times New Roman"/>
          <w:sz w:val="20"/>
          <w:szCs w:val="20"/>
          <w:shd w:val="clear" w:color="auto" w:fill="FFFFFF"/>
          <w:lang w:val="en-ZA" w:eastAsia="en-GB"/>
        </w:rPr>
        <w:t>reviv</w:t>
      </w:r>
      <w:r w:rsidR="002D0DB8" w:rsidRPr="00F43E80">
        <w:rPr>
          <w:rFonts w:ascii="Times New Roman" w:eastAsia="Times New Roman" w:hAnsi="Times New Roman" w:cs="Times New Roman"/>
          <w:sz w:val="20"/>
          <w:szCs w:val="20"/>
          <w:shd w:val="clear" w:color="auto" w:fill="FFFFFF"/>
          <w:lang w:val="en-ZA" w:eastAsia="en-GB"/>
        </w:rPr>
        <w:t>es the</w:t>
      </w:r>
      <w:r w:rsidR="00F409C7" w:rsidRPr="00F43E80">
        <w:rPr>
          <w:rFonts w:ascii="Times New Roman" w:eastAsia="Times New Roman" w:hAnsi="Times New Roman" w:cs="Times New Roman"/>
          <w:sz w:val="20"/>
          <w:szCs w:val="20"/>
          <w:shd w:val="clear" w:color="auto" w:fill="FFFFFF"/>
          <w:lang w:val="en-ZA" w:eastAsia="en-GB"/>
        </w:rPr>
        <w:t xml:space="preserve"> transformative </w:t>
      </w:r>
      <w:r w:rsidR="002D0DB8" w:rsidRPr="00F43E80">
        <w:rPr>
          <w:rFonts w:ascii="Times New Roman" w:eastAsia="Times New Roman" w:hAnsi="Times New Roman" w:cs="Times New Roman"/>
          <w:sz w:val="20"/>
          <w:szCs w:val="20"/>
          <w:shd w:val="clear" w:color="auto" w:fill="FFFFFF"/>
          <w:lang w:val="en-ZA" w:eastAsia="en-GB"/>
        </w:rPr>
        <w:t>instinct in the conceptualisation</w:t>
      </w:r>
      <w:r w:rsidR="00F409C7" w:rsidRPr="00F43E80">
        <w:rPr>
          <w:rFonts w:ascii="Times New Roman" w:eastAsia="Times New Roman" w:hAnsi="Times New Roman" w:cs="Times New Roman"/>
          <w:sz w:val="20"/>
          <w:szCs w:val="20"/>
          <w:shd w:val="clear" w:color="auto" w:fill="FFFFFF"/>
          <w:lang w:val="en-ZA" w:eastAsia="en-GB"/>
        </w:rPr>
        <w:t xml:space="preserve"> of meaningful engagement</w:t>
      </w:r>
      <w:r w:rsidR="002D0DB8" w:rsidRPr="00F43E80">
        <w:rPr>
          <w:rFonts w:ascii="Times New Roman" w:eastAsia="Times New Roman" w:hAnsi="Times New Roman" w:cs="Times New Roman"/>
          <w:sz w:val="20"/>
          <w:szCs w:val="20"/>
          <w:shd w:val="clear" w:color="auto" w:fill="FFFFFF"/>
          <w:lang w:val="en-ZA" w:eastAsia="en-GB"/>
        </w:rPr>
        <w:t xml:space="preserve"> by placing greater emphasis on substantive safeguards of meaningful engagement, such as equitable participation and bottom-up decision-making process. </w:t>
      </w:r>
      <w:r w:rsidR="00F409C7" w:rsidRPr="00F43E80">
        <w:rPr>
          <w:rFonts w:ascii="Times New Roman" w:eastAsia="Times New Roman" w:hAnsi="Times New Roman" w:cs="Times New Roman"/>
          <w:sz w:val="20"/>
          <w:szCs w:val="20"/>
          <w:shd w:val="clear" w:color="auto" w:fill="FFFFFF"/>
          <w:lang w:val="en-ZA" w:eastAsia="en-GB"/>
        </w:rPr>
        <w:t xml:space="preserve">The judgment </w:t>
      </w:r>
      <w:r w:rsidRPr="00F43E80">
        <w:rPr>
          <w:rFonts w:ascii="Times New Roman" w:eastAsia="Times New Roman" w:hAnsi="Times New Roman" w:cs="Times New Roman"/>
          <w:sz w:val="20"/>
          <w:szCs w:val="20"/>
          <w:shd w:val="clear" w:color="auto" w:fill="FFFFFF"/>
          <w:lang w:val="en-ZA" w:eastAsia="en-GB"/>
        </w:rPr>
        <w:t>sends a clear message to everyone involved in eviction proceedings that they must prioritise</w:t>
      </w:r>
      <w:r w:rsidR="00F409C7" w:rsidRPr="00F43E80">
        <w:rPr>
          <w:rFonts w:ascii="Times New Roman" w:eastAsia="Times New Roman" w:hAnsi="Times New Roman" w:cs="Times New Roman"/>
          <w:sz w:val="20"/>
          <w:szCs w:val="20"/>
          <w:shd w:val="clear" w:color="auto" w:fill="FFFFFF"/>
          <w:lang w:val="en-ZA" w:eastAsia="en-GB"/>
        </w:rPr>
        <w:t xml:space="preserve"> meaningful engagement, which is accompanied by equitable participation</w:t>
      </w:r>
      <w:r w:rsidRPr="00F43E80">
        <w:rPr>
          <w:rFonts w:ascii="Times New Roman" w:eastAsia="Times New Roman" w:hAnsi="Times New Roman" w:cs="Times New Roman"/>
          <w:sz w:val="20"/>
          <w:szCs w:val="20"/>
          <w:shd w:val="clear" w:color="auto" w:fill="FFFFFF"/>
          <w:lang w:val="en-ZA" w:eastAsia="en-GB"/>
        </w:rPr>
        <w:t xml:space="preserve"> with affected communities, particularly in urban development initiatives that may displace vulnerable populations. Moreover, the judgment has the potential to inspire policy reforms aimed at improving eviction practices. Policymakers can draw on the principles established in the </w:t>
      </w:r>
      <w:r w:rsidRPr="00F43E80">
        <w:rPr>
          <w:rFonts w:ascii="Times New Roman" w:eastAsia="Times New Roman" w:hAnsi="Times New Roman" w:cs="Times New Roman"/>
          <w:i/>
          <w:iCs/>
          <w:sz w:val="20"/>
          <w:szCs w:val="20"/>
          <w:shd w:val="clear" w:color="auto" w:fill="FFFFFF"/>
          <w:lang w:val="en-ZA" w:eastAsia="en-GB"/>
        </w:rPr>
        <w:t>Charnell Commando</w:t>
      </w:r>
      <w:r w:rsidRPr="00F43E80">
        <w:rPr>
          <w:rFonts w:ascii="Times New Roman" w:eastAsia="Times New Roman" w:hAnsi="Times New Roman" w:cs="Times New Roman"/>
          <w:sz w:val="20"/>
          <w:szCs w:val="20"/>
          <w:shd w:val="clear" w:color="auto" w:fill="FFFFFF"/>
          <w:lang w:val="en-ZA" w:eastAsia="en-GB"/>
        </w:rPr>
        <w:t xml:space="preserve"> case to develop guidelines and frameworks that prioritise meaningful engagement in eviction processes. These reforms could include mandatory consultation requirements, the establishment of independent oversight bodies, and the provision of resources to support residents in navigating eviction proceedings.</w:t>
      </w:r>
    </w:p>
    <w:p w14:paraId="7ACFA92E" w14:textId="11BD8490" w:rsidR="009C0ACF" w:rsidRPr="00F43E80" w:rsidRDefault="009C0ACF" w:rsidP="00F43E80">
      <w:pPr>
        <w:tabs>
          <w:tab w:val="left" w:pos="284"/>
        </w:tabs>
        <w:ind w:right="33"/>
        <w:jc w:val="both"/>
        <w:rPr>
          <w:rFonts w:ascii="Times New Roman" w:hAnsi="Times New Roman" w:cs="Times New Roman"/>
          <w:sz w:val="20"/>
          <w:szCs w:val="20"/>
        </w:rPr>
      </w:pPr>
    </w:p>
    <w:p w14:paraId="0B9A4951" w14:textId="77777777"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 xml:space="preserve">REFERENCES AND CITATION </w:t>
      </w:r>
    </w:p>
    <w:p w14:paraId="38FB68CA" w14:textId="77777777" w:rsidR="009C0ACF" w:rsidRPr="00F43E80" w:rsidRDefault="009C0ACF" w:rsidP="00F43E80">
      <w:pPr>
        <w:tabs>
          <w:tab w:val="left" w:pos="284"/>
        </w:tabs>
        <w:ind w:right="33"/>
        <w:jc w:val="both"/>
        <w:rPr>
          <w:rFonts w:ascii="Times New Roman" w:hAnsi="Times New Roman" w:cs="Times New Roman"/>
          <w:b/>
          <w:bCs/>
          <w:sz w:val="20"/>
          <w:szCs w:val="20"/>
        </w:rPr>
      </w:pPr>
      <w:r w:rsidRPr="00F43E80">
        <w:rPr>
          <w:rFonts w:ascii="Times New Roman" w:hAnsi="Times New Roman" w:cs="Times New Roman"/>
          <w:b/>
          <w:bCs/>
          <w:sz w:val="20"/>
          <w:szCs w:val="20"/>
        </w:rPr>
        <w:t>Books</w:t>
      </w:r>
    </w:p>
    <w:p w14:paraId="1FEFE859"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rPr>
        <w:t xml:space="preserve">Brand D &amp; De Villiers I </w:t>
      </w:r>
      <w:r w:rsidRPr="00F43E80">
        <w:rPr>
          <w:rFonts w:ascii="Times New Roman" w:hAnsi="Times New Roman" w:cs="Times New Roman"/>
          <w:i/>
          <w:iCs/>
        </w:rPr>
        <w:t>Street-based people and the right not to lose one’s home</w:t>
      </w:r>
      <w:r w:rsidRPr="00F43E80">
        <w:rPr>
          <w:rFonts w:ascii="Times New Roman" w:hAnsi="Times New Roman" w:cs="Times New Roman"/>
        </w:rPr>
        <w:t xml:space="preserve"> Cape Town: AOSIS Publishers (2021)</w:t>
      </w:r>
    </w:p>
    <w:p w14:paraId="51B16570"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Chenwi</w:t>
      </w:r>
      <w:proofErr w:type="spellEnd"/>
      <w:r w:rsidRPr="00F43E80">
        <w:rPr>
          <w:rFonts w:ascii="Times New Roman" w:hAnsi="Times New Roman" w:cs="Times New Roman"/>
        </w:rPr>
        <w:t xml:space="preserve"> L &amp; </w:t>
      </w:r>
      <w:proofErr w:type="spellStart"/>
      <w:r w:rsidRPr="00F43E80">
        <w:rPr>
          <w:rFonts w:ascii="Times New Roman" w:hAnsi="Times New Roman" w:cs="Times New Roman"/>
        </w:rPr>
        <w:t>Tissington</w:t>
      </w:r>
      <w:proofErr w:type="spellEnd"/>
      <w:r w:rsidRPr="00F43E80">
        <w:rPr>
          <w:rFonts w:ascii="Times New Roman" w:hAnsi="Times New Roman" w:cs="Times New Roman"/>
        </w:rPr>
        <w:t xml:space="preserve"> K </w:t>
      </w:r>
      <w:r w:rsidRPr="00F43E80">
        <w:rPr>
          <w:rFonts w:ascii="Times New Roman" w:hAnsi="Times New Roman" w:cs="Times New Roman"/>
          <w:i/>
          <w:iCs/>
        </w:rPr>
        <w:t>Engaging meaningfully with government on socio-economic rights: A focus on the right to housing</w:t>
      </w:r>
      <w:r w:rsidRPr="00F43E80">
        <w:rPr>
          <w:rFonts w:ascii="Times New Roman" w:hAnsi="Times New Roman" w:cs="Times New Roman"/>
        </w:rPr>
        <w:t xml:space="preserve"> University of the Western Cape: SERI (2010) </w:t>
      </w:r>
    </w:p>
    <w:p w14:paraId="16C3B020" w14:textId="5CE07141" w:rsidR="00D94DFE" w:rsidRPr="00F43E80" w:rsidRDefault="00D94DFE"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Jagwanth</w:t>
      </w:r>
      <w:proofErr w:type="spellEnd"/>
      <w:r w:rsidRPr="00F43E80">
        <w:rPr>
          <w:rFonts w:ascii="Times New Roman" w:hAnsi="Times New Roman" w:cs="Times New Roman"/>
        </w:rPr>
        <w:t xml:space="preserve"> S and Soltan F </w:t>
      </w:r>
      <w:r w:rsidRPr="00F43E80">
        <w:rPr>
          <w:rFonts w:ascii="Times New Roman" w:hAnsi="Times New Roman" w:cs="Times New Roman"/>
          <w:i/>
          <w:iCs/>
        </w:rPr>
        <w:t>A review of South Africa’s Intergovernmental Fiscal Relations System: An African perspective on Fiscal Decentralisation</w:t>
      </w:r>
      <w:r w:rsidRPr="00F43E80">
        <w:rPr>
          <w:rFonts w:ascii="Times New Roman" w:hAnsi="Times New Roman" w:cs="Times New Roman"/>
        </w:rPr>
        <w:t xml:space="preserve"> Paper for FFC (2014)</w:t>
      </w:r>
    </w:p>
    <w:p w14:paraId="1D8D61FD"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Liebenburg</w:t>
      </w:r>
      <w:proofErr w:type="spellEnd"/>
      <w:r w:rsidRPr="00F43E80">
        <w:rPr>
          <w:rFonts w:ascii="Times New Roman" w:hAnsi="Times New Roman" w:cs="Times New Roman"/>
        </w:rPr>
        <w:t xml:space="preserve"> S </w:t>
      </w:r>
      <w:r w:rsidRPr="00F43E80">
        <w:rPr>
          <w:rFonts w:ascii="Times New Roman" w:hAnsi="Times New Roman" w:cs="Times New Roman"/>
          <w:i/>
          <w:iCs/>
        </w:rPr>
        <w:t xml:space="preserve">Socio-economic rights: Adjudication under transformative constitution </w:t>
      </w:r>
      <w:r w:rsidRPr="00F43E80">
        <w:rPr>
          <w:rFonts w:ascii="Times New Roman" w:hAnsi="Times New Roman" w:cs="Times New Roman"/>
        </w:rPr>
        <w:t xml:space="preserve">Claremont: Juta (2010) </w:t>
      </w:r>
    </w:p>
    <w:p w14:paraId="145134EF" w14:textId="12A58429" w:rsidR="00396A34" w:rsidRPr="00F43E80" w:rsidRDefault="00396A34" w:rsidP="00F43E80">
      <w:pPr>
        <w:pStyle w:val="FootnoteText"/>
        <w:numPr>
          <w:ilvl w:val="0"/>
          <w:numId w:val="50"/>
        </w:numPr>
        <w:tabs>
          <w:tab w:val="left" w:pos="284"/>
        </w:tabs>
        <w:ind w:left="284" w:right="33" w:hanging="284"/>
        <w:jc w:val="both"/>
        <w:rPr>
          <w:rFonts w:ascii="Times New Roman" w:hAnsi="Times New Roman" w:cs="Times New Roman"/>
          <w:lang w:val="en-US"/>
        </w:rPr>
      </w:pPr>
      <w:proofErr w:type="spellStart"/>
      <w:r w:rsidRPr="00F43E80">
        <w:rPr>
          <w:rFonts w:ascii="Times New Roman" w:hAnsi="Times New Roman" w:cs="Times New Roman"/>
          <w:lang w:val="en-US"/>
        </w:rPr>
        <w:t>Munakanwe</w:t>
      </w:r>
      <w:proofErr w:type="spellEnd"/>
      <w:r w:rsidRPr="00F43E80">
        <w:rPr>
          <w:rFonts w:ascii="Times New Roman" w:hAnsi="Times New Roman" w:cs="Times New Roman"/>
          <w:lang w:val="en-US"/>
        </w:rPr>
        <w:t xml:space="preserve"> J &amp; </w:t>
      </w:r>
      <w:proofErr w:type="spellStart"/>
      <w:r w:rsidRPr="00F43E80">
        <w:rPr>
          <w:rFonts w:ascii="Times New Roman" w:hAnsi="Times New Roman" w:cs="Times New Roman"/>
          <w:lang w:val="en-US"/>
        </w:rPr>
        <w:t>Luthango</w:t>
      </w:r>
      <w:proofErr w:type="spellEnd"/>
      <w:r w:rsidRPr="00F43E80">
        <w:rPr>
          <w:rFonts w:ascii="Times New Roman" w:hAnsi="Times New Roman" w:cs="Times New Roman"/>
          <w:lang w:val="en-US"/>
        </w:rPr>
        <w:t xml:space="preserve"> S </w:t>
      </w:r>
      <w:r w:rsidRPr="00F43E80">
        <w:rPr>
          <w:rFonts w:ascii="Times New Roman" w:hAnsi="Times New Roman" w:cs="Times New Roman"/>
          <w:i/>
          <w:iCs/>
          <w:lang w:val="en-US"/>
        </w:rPr>
        <w:t xml:space="preserve">Dispossession and evictions in post-apartheid South Africa: Three decades into the democratic transition, land rights remain a highly contested good </w:t>
      </w:r>
      <w:r w:rsidRPr="00F43E80">
        <w:rPr>
          <w:rFonts w:ascii="Times New Roman" w:hAnsi="Times New Roman" w:cs="Times New Roman"/>
          <w:lang w:val="en-US"/>
        </w:rPr>
        <w:t xml:space="preserve">Rosa Luxemburg Stiftung </w:t>
      </w:r>
      <w:r w:rsidR="00D94DFE" w:rsidRPr="00F43E80">
        <w:rPr>
          <w:rFonts w:ascii="Times New Roman" w:hAnsi="Times New Roman" w:cs="Times New Roman"/>
          <w:lang w:val="en-US"/>
        </w:rPr>
        <w:t>(2024)</w:t>
      </w:r>
    </w:p>
    <w:p w14:paraId="53F4FAC1"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 xml:space="preserve">Roux T </w:t>
      </w:r>
      <w:r w:rsidRPr="00F43E80">
        <w:rPr>
          <w:rFonts w:ascii="Times New Roman" w:hAnsi="Times New Roman" w:cs="Times New Roman"/>
          <w:i/>
          <w:iCs/>
          <w:sz w:val="20"/>
          <w:szCs w:val="20"/>
        </w:rPr>
        <w:t>The politics of principle: The first South African Constitutional Court, 1995-2005</w:t>
      </w:r>
      <w:r w:rsidRPr="00F43E80">
        <w:rPr>
          <w:rFonts w:ascii="Times New Roman" w:hAnsi="Times New Roman" w:cs="Times New Roman"/>
          <w:sz w:val="20"/>
          <w:szCs w:val="20"/>
        </w:rPr>
        <w:t xml:space="preserve"> Cambridge: Cambridge University Press (2013) </w:t>
      </w:r>
    </w:p>
    <w:p w14:paraId="64A80143" w14:textId="6A74F917" w:rsidR="00396A34"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lang w:val="en-US"/>
        </w:rPr>
      </w:pPr>
      <w:proofErr w:type="spellStart"/>
      <w:r w:rsidRPr="00F43E80">
        <w:rPr>
          <w:rFonts w:ascii="Times New Roman" w:hAnsi="Times New Roman" w:cs="Times New Roman"/>
          <w:sz w:val="20"/>
          <w:szCs w:val="20"/>
        </w:rPr>
        <w:t>Tushnet</w:t>
      </w:r>
      <w:proofErr w:type="spellEnd"/>
      <w:r w:rsidRPr="00F43E80">
        <w:rPr>
          <w:rFonts w:ascii="Times New Roman" w:hAnsi="Times New Roman" w:cs="Times New Roman"/>
          <w:sz w:val="20"/>
          <w:szCs w:val="20"/>
        </w:rPr>
        <w:t xml:space="preserve"> M </w:t>
      </w:r>
      <w:r w:rsidRPr="00F43E80">
        <w:rPr>
          <w:rFonts w:ascii="Times New Roman" w:hAnsi="Times New Roman" w:cs="Times New Roman"/>
          <w:i/>
          <w:iCs/>
          <w:sz w:val="20"/>
          <w:szCs w:val="20"/>
        </w:rPr>
        <w:t xml:space="preserve">Weak Courts, Strong Rights: Judicial Review and Social Welfare Rights in Comparative Constitutional Law </w:t>
      </w:r>
      <w:r w:rsidRPr="00F43E80">
        <w:rPr>
          <w:rFonts w:ascii="Times New Roman" w:hAnsi="Times New Roman" w:cs="Times New Roman"/>
          <w:sz w:val="20"/>
          <w:szCs w:val="20"/>
        </w:rPr>
        <w:t xml:space="preserve">Princeton: Princeton University Press (2008) </w:t>
      </w:r>
    </w:p>
    <w:p w14:paraId="6ACBB161" w14:textId="31498F7F" w:rsidR="00396A34" w:rsidRPr="00F43E80" w:rsidRDefault="00396A34" w:rsidP="00F43E80">
      <w:pPr>
        <w:pStyle w:val="FootnoteText"/>
        <w:numPr>
          <w:ilvl w:val="0"/>
          <w:numId w:val="50"/>
        </w:numPr>
        <w:tabs>
          <w:tab w:val="left" w:pos="284"/>
        </w:tabs>
        <w:ind w:left="284" w:right="33" w:hanging="284"/>
        <w:jc w:val="both"/>
        <w:rPr>
          <w:rFonts w:ascii="Times New Roman" w:hAnsi="Times New Roman" w:cs="Times New Roman"/>
          <w:u w:val="single"/>
          <w:lang w:val="en-US"/>
        </w:rPr>
      </w:pPr>
      <w:r w:rsidRPr="00F43E80">
        <w:rPr>
          <w:rFonts w:ascii="Times New Roman" w:hAnsi="Times New Roman" w:cs="Times New Roman"/>
          <w:lang w:val="en-US"/>
        </w:rPr>
        <w:t xml:space="preserve">van Staden M </w:t>
      </w:r>
      <w:r w:rsidRPr="00F43E80">
        <w:rPr>
          <w:rFonts w:ascii="Times New Roman" w:hAnsi="Times New Roman" w:cs="Times New Roman"/>
          <w:i/>
          <w:iCs/>
          <w:lang w:val="en-US"/>
        </w:rPr>
        <w:t xml:space="preserve">Colonialism and apartheid stripped black South Africans of land and </w:t>
      </w:r>
      <w:proofErr w:type="spellStart"/>
      <w:r w:rsidRPr="00F43E80">
        <w:rPr>
          <w:rFonts w:ascii="Times New Roman" w:hAnsi="Times New Roman" w:cs="Times New Roman"/>
          <w:i/>
          <w:iCs/>
          <w:lang w:val="en-US"/>
        </w:rPr>
        <w:t>labour</w:t>
      </w:r>
      <w:proofErr w:type="spellEnd"/>
      <w:r w:rsidRPr="00F43E80">
        <w:rPr>
          <w:rFonts w:ascii="Times New Roman" w:hAnsi="Times New Roman" w:cs="Times New Roman"/>
          <w:i/>
          <w:iCs/>
          <w:lang w:val="en-US"/>
        </w:rPr>
        <w:t xml:space="preserve"> rights</w:t>
      </w:r>
      <w:r w:rsidRPr="00F43E80">
        <w:rPr>
          <w:rFonts w:ascii="Times New Roman" w:hAnsi="Times New Roman" w:cs="Times New Roman"/>
          <w:lang w:val="en-US"/>
        </w:rPr>
        <w:t xml:space="preserve"> The Conversations</w:t>
      </w:r>
      <w:r w:rsidR="00D94DFE" w:rsidRPr="00F43E80">
        <w:rPr>
          <w:rFonts w:ascii="Times New Roman" w:hAnsi="Times New Roman" w:cs="Times New Roman"/>
          <w:lang w:val="en-US"/>
        </w:rPr>
        <w:t xml:space="preserve"> (2024)</w:t>
      </w:r>
      <w:r w:rsidRPr="00F43E80">
        <w:rPr>
          <w:rFonts w:ascii="Times New Roman" w:hAnsi="Times New Roman" w:cs="Times New Roman"/>
          <w:lang w:val="en-US"/>
        </w:rPr>
        <w:t xml:space="preserve">. </w:t>
      </w:r>
      <w:r w:rsidRPr="00F43E80">
        <w:rPr>
          <w:rFonts w:ascii="Times New Roman" w:hAnsi="Times New Roman" w:cs="Times New Roman"/>
          <w:u w:val="single"/>
          <w:lang w:val="en-US"/>
        </w:rPr>
        <w:t>htts://the conversations.com/colonialism-and-apartheid-stripped-black-south-africans-of-land-and-labour-rights-the-effects-still-felt-today-238243 (accessed 22 May 2025)</w:t>
      </w:r>
    </w:p>
    <w:p w14:paraId="7BFECC5E"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b/>
          <w:bCs/>
          <w:sz w:val="20"/>
          <w:szCs w:val="20"/>
        </w:rPr>
      </w:pPr>
      <w:r w:rsidRPr="00F43E80">
        <w:rPr>
          <w:rFonts w:ascii="Times New Roman" w:hAnsi="Times New Roman" w:cs="Times New Roman"/>
          <w:b/>
          <w:bCs/>
          <w:sz w:val="20"/>
          <w:szCs w:val="20"/>
        </w:rPr>
        <w:t>Chapters in books</w:t>
      </w:r>
    </w:p>
    <w:p w14:paraId="78F32F33"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rPr>
        <w:t xml:space="preserve">Liebenberg S &amp; Young G “Adjudicating social and economic rights: can democratic experimentalism help?” in </w:t>
      </w:r>
      <w:proofErr w:type="spellStart"/>
      <w:r w:rsidRPr="00F43E80">
        <w:rPr>
          <w:rFonts w:ascii="Times New Roman" w:hAnsi="Times New Roman" w:cs="Times New Roman"/>
        </w:rPr>
        <w:t>Aliviar</w:t>
      </w:r>
      <w:proofErr w:type="spellEnd"/>
      <w:r w:rsidRPr="00F43E80">
        <w:rPr>
          <w:rFonts w:ascii="Times New Roman" w:hAnsi="Times New Roman" w:cs="Times New Roman"/>
        </w:rPr>
        <w:t xml:space="preserve">-Garcia H, Klare K &amp; Williams LA (eds) </w:t>
      </w:r>
      <w:r w:rsidRPr="00F43E80">
        <w:rPr>
          <w:rFonts w:ascii="Times New Roman" w:hAnsi="Times New Roman" w:cs="Times New Roman"/>
          <w:i/>
          <w:iCs/>
        </w:rPr>
        <w:t>Socio-economic rights in Theory and practice: Critical Enquiries</w:t>
      </w:r>
      <w:r w:rsidRPr="00F43E80">
        <w:rPr>
          <w:rFonts w:ascii="Times New Roman" w:hAnsi="Times New Roman" w:cs="Times New Roman"/>
        </w:rPr>
        <w:t xml:space="preserve"> London: Routledge (2014)</w:t>
      </w:r>
    </w:p>
    <w:p w14:paraId="2466BDE0"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b/>
          <w:bCs/>
          <w:sz w:val="20"/>
          <w:szCs w:val="20"/>
        </w:rPr>
      </w:pPr>
      <w:r w:rsidRPr="00F43E80">
        <w:rPr>
          <w:rFonts w:ascii="Times New Roman" w:hAnsi="Times New Roman" w:cs="Times New Roman"/>
          <w:b/>
          <w:bCs/>
          <w:sz w:val="20"/>
          <w:szCs w:val="20"/>
        </w:rPr>
        <w:t xml:space="preserve">Journal articles </w:t>
      </w:r>
    </w:p>
    <w:p w14:paraId="148F0814"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Chenwi</w:t>
      </w:r>
      <w:proofErr w:type="spellEnd"/>
      <w:r w:rsidRPr="00F43E80">
        <w:rPr>
          <w:rFonts w:ascii="Times New Roman" w:hAnsi="Times New Roman" w:cs="Times New Roman"/>
        </w:rPr>
        <w:t xml:space="preserve"> L “A New approach to remedies in socio-economic rights adjudication: </w:t>
      </w:r>
      <w:r w:rsidRPr="00F43E80">
        <w:rPr>
          <w:rFonts w:ascii="Times New Roman" w:hAnsi="Times New Roman" w:cs="Times New Roman"/>
          <w:iCs/>
        </w:rPr>
        <w:t>Occupiers of 51 Olivia Road v City of Johannesburg and Others</w:t>
      </w:r>
      <w:r w:rsidRPr="00F43E80">
        <w:rPr>
          <w:rFonts w:ascii="Times New Roman" w:hAnsi="Times New Roman" w:cs="Times New Roman"/>
          <w:i/>
        </w:rPr>
        <w:t xml:space="preserve">” </w:t>
      </w:r>
      <w:r w:rsidRPr="00F43E80">
        <w:rPr>
          <w:rFonts w:ascii="Times New Roman" w:hAnsi="Times New Roman" w:cs="Times New Roman"/>
        </w:rPr>
        <w:t xml:space="preserve">(2009) 2 </w:t>
      </w:r>
      <w:r w:rsidRPr="00F43E80">
        <w:rPr>
          <w:rFonts w:ascii="Times New Roman" w:hAnsi="Times New Roman" w:cs="Times New Roman"/>
          <w:i/>
        </w:rPr>
        <w:t xml:space="preserve">Constitutional Court Review </w:t>
      </w:r>
      <w:r w:rsidRPr="00F43E80">
        <w:rPr>
          <w:rFonts w:ascii="Times New Roman" w:hAnsi="Times New Roman" w:cs="Times New Roman"/>
        </w:rPr>
        <w:t>371-399</w:t>
      </w:r>
    </w:p>
    <w:p w14:paraId="1FE1899B" w14:textId="2A68CBBD" w:rsidR="00B75C19" w:rsidRPr="00F43E80" w:rsidRDefault="00B75C19"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Kollapen</w:t>
      </w:r>
      <w:proofErr w:type="spellEnd"/>
      <w:r w:rsidRPr="00F43E80">
        <w:rPr>
          <w:rFonts w:ascii="Times New Roman" w:hAnsi="Times New Roman" w:cs="Times New Roman"/>
        </w:rPr>
        <w:t xml:space="preserve"> J “Realising socio-economic rights in an unequal society” (2024) 1 </w:t>
      </w:r>
      <w:r w:rsidRPr="00F43E80">
        <w:rPr>
          <w:rFonts w:ascii="Times New Roman" w:hAnsi="Times New Roman" w:cs="Times New Roman"/>
          <w:i/>
          <w:iCs/>
        </w:rPr>
        <w:t>Stellenbosch Law Review</w:t>
      </w:r>
      <w:r w:rsidRPr="00F43E80">
        <w:rPr>
          <w:rFonts w:ascii="Times New Roman" w:hAnsi="Times New Roman" w:cs="Times New Roman"/>
        </w:rPr>
        <w:t xml:space="preserve"> at 1-20.</w:t>
      </w:r>
    </w:p>
    <w:p w14:paraId="6B6471D4" w14:textId="07D5150D" w:rsidR="004A2A69" w:rsidRPr="00F43E80" w:rsidRDefault="004A2A69" w:rsidP="00F43E80">
      <w:pPr>
        <w:pStyle w:val="FootnoteText"/>
        <w:numPr>
          <w:ilvl w:val="0"/>
          <w:numId w:val="50"/>
        </w:numPr>
        <w:tabs>
          <w:tab w:val="left" w:pos="284"/>
        </w:tabs>
        <w:ind w:left="284" w:right="33" w:hanging="284"/>
        <w:jc w:val="both"/>
        <w:rPr>
          <w:rFonts w:ascii="Times New Roman" w:hAnsi="Times New Roman" w:cs="Times New Roman"/>
          <w:lang w:val="en-US"/>
        </w:rPr>
      </w:pPr>
      <w:proofErr w:type="spellStart"/>
      <w:r w:rsidRPr="00F43E80">
        <w:rPr>
          <w:rFonts w:ascii="Times New Roman" w:hAnsi="Times New Roman" w:cs="Times New Roman"/>
          <w:lang w:val="en-US"/>
        </w:rPr>
        <w:t>Madjiedt</w:t>
      </w:r>
      <w:proofErr w:type="spellEnd"/>
      <w:r w:rsidRPr="00F43E80">
        <w:rPr>
          <w:rFonts w:ascii="Times New Roman" w:hAnsi="Times New Roman" w:cs="Times New Roman"/>
          <w:lang w:val="en-US"/>
        </w:rPr>
        <w:t xml:space="preserve"> S “Dreams and aspirations deferred? The Constitutional Court’s approach to the fulfilment of socio-economic rights in the constitution” (2022) 26</w:t>
      </w:r>
      <w:r w:rsidRPr="00F43E80">
        <w:rPr>
          <w:rFonts w:ascii="Times New Roman" w:hAnsi="Times New Roman" w:cs="Times New Roman"/>
          <w:i/>
          <w:iCs/>
          <w:lang w:val="en-US"/>
        </w:rPr>
        <w:t xml:space="preserve"> Law, Democracy and Development </w:t>
      </w:r>
      <w:r w:rsidRPr="00F43E80">
        <w:rPr>
          <w:rFonts w:ascii="Times New Roman" w:hAnsi="Times New Roman" w:cs="Times New Roman"/>
          <w:lang w:val="en-US"/>
        </w:rPr>
        <w:t>1-37</w:t>
      </w:r>
      <w:r w:rsidR="00B75C19" w:rsidRPr="00F43E80">
        <w:rPr>
          <w:rFonts w:ascii="Times New Roman" w:hAnsi="Times New Roman" w:cs="Times New Roman"/>
          <w:lang w:val="en-US"/>
        </w:rPr>
        <w:t>.</w:t>
      </w:r>
    </w:p>
    <w:p w14:paraId="4E35A89A" w14:textId="6577CC91"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rPr>
        <w:t xml:space="preserve">Muller G “Conceptualising meaningful engagement as a deliberative democratic partnership” (2011) 22 </w:t>
      </w:r>
      <w:r w:rsidRPr="00F43E80">
        <w:rPr>
          <w:rFonts w:ascii="Times New Roman" w:hAnsi="Times New Roman" w:cs="Times New Roman"/>
          <w:i/>
          <w:iCs/>
        </w:rPr>
        <w:t>Stellenbosch Law Review</w:t>
      </w:r>
      <w:r w:rsidRPr="00F43E80">
        <w:rPr>
          <w:rFonts w:ascii="Times New Roman" w:hAnsi="Times New Roman" w:cs="Times New Roman"/>
        </w:rPr>
        <w:t xml:space="preserve"> 742-758</w:t>
      </w:r>
    </w:p>
    <w:p w14:paraId="7B9204C4"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rPr>
        <w:t xml:space="preserve">Ray B “Engagement possibilities and limits as a socio-economic rights remedy” (2010) 9(3) </w:t>
      </w:r>
      <w:r w:rsidRPr="00F43E80">
        <w:rPr>
          <w:rFonts w:ascii="Times New Roman" w:hAnsi="Times New Roman" w:cs="Times New Roman"/>
          <w:i/>
          <w:iCs/>
        </w:rPr>
        <w:t>Washington University Global Studies Law Review</w:t>
      </w:r>
      <w:r w:rsidRPr="00F43E80">
        <w:rPr>
          <w:rFonts w:ascii="Times New Roman" w:hAnsi="Times New Roman" w:cs="Times New Roman"/>
        </w:rPr>
        <w:t xml:space="preserve"> 399-427</w:t>
      </w:r>
    </w:p>
    <w:p w14:paraId="2BCDD7D4"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rPr>
        <w:t>Tushnet</w:t>
      </w:r>
      <w:proofErr w:type="spellEnd"/>
      <w:r w:rsidRPr="00F43E80">
        <w:rPr>
          <w:rFonts w:ascii="Times New Roman" w:hAnsi="Times New Roman" w:cs="Times New Roman"/>
        </w:rPr>
        <w:t xml:space="preserve"> MV “Social welfare and the forms of judicial review” (2004) 82</w:t>
      </w:r>
      <w:r w:rsidRPr="00F43E80">
        <w:rPr>
          <w:rFonts w:ascii="Times New Roman" w:hAnsi="Times New Roman" w:cs="Times New Roman"/>
          <w:i/>
          <w:iCs/>
        </w:rPr>
        <w:t xml:space="preserve"> Texas Law Review </w:t>
      </w:r>
      <w:r w:rsidRPr="00F43E80">
        <w:rPr>
          <w:rFonts w:ascii="Times New Roman" w:hAnsi="Times New Roman" w:cs="Times New Roman"/>
        </w:rPr>
        <w:t>1895-2019</w:t>
      </w:r>
    </w:p>
    <w:p w14:paraId="12DDA6FA"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b/>
          <w:bCs/>
          <w:sz w:val="20"/>
          <w:szCs w:val="20"/>
        </w:rPr>
      </w:pPr>
      <w:r w:rsidRPr="00F43E80">
        <w:rPr>
          <w:rFonts w:ascii="Times New Roman" w:hAnsi="Times New Roman" w:cs="Times New Roman"/>
          <w:b/>
          <w:bCs/>
          <w:sz w:val="20"/>
          <w:szCs w:val="20"/>
        </w:rPr>
        <w:t xml:space="preserve">Legislation </w:t>
      </w:r>
    </w:p>
    <w:p w14:paraId="5C5B78D2"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Prevention of Illegal Evictions from and Unlawful Occupation of Land Act 19 of 1998</w:t>
      </w:r>
    </w:p>
    <w:p w14:paraId="3C36EC60"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Prevention of Illegal Squatting Act 104 of 1951</w:t>
      </w:r>
    </w:p>
    <w:p w14:paraId="221701C8"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The Constitution of the Republic of South Africa, Act 108 of 1996</w:t>
      </w:r>
    </w:p>
    <w:p w14:paraId="67AC2680"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 xml:space="preserve">Black Land Act 35 of 1913 </w:t>
      </w:r>
    </w:p>
    <w:p w14:paraId="524DFC54"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Health Act 63 of 1977</w:t>
      </w:r>
    </w:p>
    <w:p w14:paraId="14D5F7B6"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 xml:space="preserve">KwaZulu-Natal Elimination and Prevention of Re-Emergence of Slums Act </w:t>
      </w:r>
    </w:p>
    <w:p w14:paraId="6F8CC8BF"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Physical Planning Act 88 of 1967</w:t>
      </w:r>
    </w:p>
    <w:p w14:paraId="06FE3A1B"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 xml:space="preserve">Promotion of Administrative Justice Act 3 of 2000 </w:t>
      </w:r>
    </w:p>
    <w:p w14:paraId="6207D4E1"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Slums Act 53 of 1934</w:t>
      </w:r>
    </w:p>
    <w:p w14:paraId="617EA8FB" w14:textId="77777777" w:rsidR="009C0ACF" w:rsidRPr="00F43E80" w:rsidRDefault="009C0ACF" w:rsidP="00F43E80">
      <w:pPr>
        <w:pStyle w:val="ListParagraph"/>
        <w:numPr>
          <w:ilvl w:val="0"/>
          <w:numId w:val="50"/>
        </w:num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lastRenderedPageBreak/>
        <w:t>Trespass Act 6 of 1959</w:t>
      </w:r>
    </w:p>
    <w:p w14:paraId="53259EF1"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b/>
          <w:bCs/>
          <w:sz w:val="20"/>
          <w:szCs w:val="20"/>
        </w:rPr>
      </w:pPr>
      <w:r w:rsidRPr="00F43E80">
        <w:rPr>
          <w:rFonts w:ascii="Times New Roman" w:hAnsi="Times New Roman" w:cs="Times New Roman"/>
          <w:b/>
          <w:bCs/>
          <w:sz w:val="20"/>
          <w:szCs w:val="20"/>
        </w:rPr>
        <w:t>Treaties and Conventions</w:t>
      </w:r>
    </w:p>
    <w:p w14:paraId="654F63C2"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lang w:val="en-US"/>
        </w:rPr>
      </w:pPr>
      <w:r w:rsidRPr="00F43E80">
        <w:rPr>
          <w:rFonts w:ascii="Times New Roman" w:hAnsi="Times New Roman" w:cs="Times New Roman"/>
          <w:lang w:val="en-US"/>
        </w:rPr>
        <w:t>1991: UN Committee on Economic, Social and Cultural Rights, “General Comment No. 4: The Right to Adequate Housing [Art.11(1) of the Covenant]” 13 December 1991 Res E/1992/23 (1991).</w:t>
      </w:r>
    </w:p>
    <w:p w14:paraId="31B2EC02"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lang w:val="en-US"/>
        </w:rPr>
      </w:pPr>
      <w:r w:rsidRPr="00F43E80">
        <w:rPr>
          <w:rFonts w:ascii="Times New Roman" w:hAnsi="Times New Roman" w:cs="Times New Roman"/>
          <w:lang w:val="en-US"/>
        </w:rPr>
        <w:t xml:space="preserve">1993: UNCHR Resolution 1993/77 “Forced Evictions” adopted on 10 March 1993 UN </w:t>
      </w:r>
      <w:proofErr w:type="spellStart"/>
      <w:r w:rsidRPr="00F43E80">
        <w:rPr>
          <w:rFonts w:ascii="Times New Roman" w:hAnsi="Times New Roman" w:cs="Times New Roman"/>
          <w:lang w:val="en-US"/>
        </w:rPr>
        <w:t>Doc.E</w:t>
      </w:r>
      <w:proofErr w:type="spellEnd"/>
      <w:r w:rsidRPr="00F43E80">
        <w:rPr>
          <w:rFonts w:ascii="Times New Roman" w:hAnsi="Times New Roman" w:cs="Times New Roman"/>
          <w:lang w:val="en-US"/>
        </w:rPr>
        <w:t>/CN.4/.RES/1993/77.</w:t>
      </w:r>
    </w:p>
    <w:p w14:paraId="3814DD19"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sz w:val="20"/>
          <w:szCs w:val="20"/>
        </w:rPr>
        <w:t>1998: UN Committee on Social, Economic and Cultural Rights, “General Comment No.7: The Right to Adequate Housing [Art. 11.1]: Forced Evictions” 20 May 1997 Res E/1998/22.</w:t>
      </w:r>
    </w:p>
    <w:p w14:paraId="1372CFCB"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b/>
          <w:bCs/>
          <w:sz w:val="20"/>
          <w:szCs w:val="20"/>
        </w:rPr>
      </w:pPr>
      <w:r w:rsidRPr="00F43E80">
        <w:rPr>
          <w:rFonts w:ascii="Times New Roman" w:hAnsi="Times New Roman" w:cs="Times New Roman"/>
          <w:b/>
          <w:bCs/>
          <w:sz w:val="20"/>
          <w:szCs w:val="20"/>
        </w:rPr>
        <w:t>Case law</w:t>
      </w:r>
    </w:p>
    <w:p w14:paraId="369A4BB4"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proofErr w:type="spellStart"/>
      <w:r w:rsidRPr="00F43E80">
        <w:rPr>
          <w:rFonts w:ascii="Times New Roman" w:hAnsi="Times New Roman" w:cs="Times New Roman"/>
          <w:i/>
        </w:rPr>
        <w:t>Abahlali</w:t>
      </w:r>
      <w:proofErr w:type="spellEnd"/>
      <w:r w:rsidRPr="00F43E80">
        <w:rPr>
          <w:rFonts w:ascii="Times New Roman" w:hAnsi="Times New Roman" w:cs="Times New Roman"/>
          <w:i/>
        </w:rPr>
        <w:t xml:space="preserve"> </w:t>
      </w:r>
      <w:proofErr w:type="spellStart"/>
      <w:r w:rsidRPr="00F43E80">
        <w:rPr>
          <w:rFonts w:ascii="Times New Roman" w:hAnsi="Times New Roman" w:cs="Times New Roman"/>
          <w:i/>
        </w:rPr>
        <w:t>BaseMjondolo</w:t>
      </w:r>
      <w:proofErr w:type="spellEnd"/>
      <w:r w:rsidRPr="00F43E80">
        <w:rPr>
          <w:rFonts w:ascii="Times New Roman" w:hAnsi="Times New Roman" w:cs="Times New Roman"/>
          <w:i/>
        </w:rPr>
        <w:t xml:space="preserve"> Movement SA and another v Premier of KwaZulu-Natal and Others </w:t>
      </w:r>
      <w:r w:rsidRPr="00F43E80">
        <w:rPr>
          <w:rFonts w:ascii="Times New Roman" w:hAnsi="Times New Roman" w:cs="Times New Roman"/>
        </w:rPr>
        <w:t xml:space="preserve">2010 (2) BCLR 99 (CC) </w:t>
      </w:r>
    </w:p>
    <w:p w14:paraId="585711A1"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iCs/>
          <w:sz w:val="20"/>
          <w:szCs w:val="20"/>
        </w:rPr>
      </w:pPr>
      <w:r w:rsidRPr="00F43E80">
        <w:rPr>
          <w:rFonts w:ascii="Times New Roman" w:hAnsi="Times New Roman" w:cs="Times New Roman"/>
          <w:i/>
          <w:sz w:val="20"/>
          <w:szCs w:val="20"/>
        </w:rPr>
        <w:t>Charnell Commando and Others v City of Cape Town and Another</w:t>
      </w:r>
      <w:r w:rsidRPr="00F43E80">
        <w:rPr>
          <w:rFonts w:ascii="Times New Roman" w:hAnsi="Times New Roman" w:cs="Times New Roman"/>
          <w:iCs/>
          <w:sz w:val="20"/>
          <w:szCs w:val="20"/>
        </w:rPr>
        <w:t xml:space="preserve"> 2025 (3) BCLR 243 (CC).</w:t>
      </w:r>
    </w:p>
    <w:p w14:paraId="1F4C3424"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City of Johannesburg Municipality v Blue Moonlight Properties 39 (Pty) Ltd and Another</w:t>
      </w:r>
      <w:r w:rsidRPr="00F43E80">
        <w:rPr>
          <w:rFonts w:ascii="Times New Roman" w:hAnsi="Times New Roman" w:cs="Times New Roman"/>
        </w:rPr>
        <w:t xml:space="preserve"> 2012 (2) BCLR 150 (CC)</w:t>
      </w:r>
    </w:p>
    <w:p w14:paraId="49791D13"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City of Johannesburg v Rand Properties</w:t>
      </w:r>
      <w:r w:rsidRPr="00F43E80">
        <w:rPr>
          <w:rFonts w:ascii="Times New Roman" w:hAnsi="Times New Roman" w:cs="Times New Roman"/>
        </w:rPr>
        <w:t xml:space="preserve"> (2007) (1) SA 78 (W).</w:t>
      </w:r>
    </w:p>
    <w:p w14:paraId="465D2D21"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City of Johannesburg v Rand Properties</w:t>
      </w:r>
      <w:r w:rsidRPr="00F43E80">
        <w:rPr>
          <w:rFonts w:ascii="Times New Roman" w:hAnsi="Times New Roman" w:cs="Times New Roman"/>
        </w:rPr>
        <w:t xml:space="preserve"> (2007) (6) SA 417 (SCA).</w:t>
      </w:r>
    </w:p>
    <w:p w14:paraId="33431260"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iCs/>
          <w:sz w:val="20"/>
          <w:szCs w:val="20"/>
        </w:rPr>
      </w:pPr>
      <w:proofErr w:type="spellStart"/>
      <w:r w:rsidRPr="00F43E80">
        <w:rPr>
          <w:rFonts w:ascii="Times New Roman" w:hAnsi="Times New Roman" w:cs="Times New Roman"/>
          <w:i/>
          <w:sz w:val="20"/>
          <w:szCs w:val="20"/>
        </w:rPr>
        <w:t>Maledu</w:t>
      </w:r>
      <w:proofErr w:type="spellEnd"/>
      <w:r w:rsidRPr="00F43E80">
        <w:rPr>
          <w:rFonts w:ascii="Times New Roman" w:hAnsi="Times New Roman" w:cs="Times New Roman"/>
          <w:i/>
          <w:sz w:val="20"/>
          <w:szCs w:val="20"/>
        </w:rPr>
        <w:t xml:space="preserve"> and Others v </w:t>
      </w:r>
      <w:proofErr w:type="spellStart"/>
      <w:r w:rsidRPr="00F43E80">
        <w:rPr>
          <w:rFonts w:ascii="Times New Roman" w:hAnsi="Times New Roman" w:cs="Times New Roman"/>
          <w:i/>
          <w:sz w:val="20"/>
          <w:szCs w:val="20"/>
        </w:rPr>
        <w:t>Itereleng</w:t>
      </w:r>
      <w:proofErr w:type="spellEnd"/>
      <w:r w:rsidRPr="00F43E80">
        <w:rPr>
          <w:rFonts w:ascii="Times New Roman" w:hAnsi="Times New Roman" w:cs="Times New Roman"/>
          <w:i/>
          <w:sz w:val="20"/>
          <w:szCs w:val="20"/>
        </w:rPr>
        <w:t xml:space="preserve"> </w:t>
      </w:r>
      <w:proofErr w:type="spellStart"/>
      <w:r w:rsidRPr="00F43E80">
        <w:rPr>
          <w:rFonts w:ascii="Times New Roman" w:hAnsi="Times New Roman" w:cs="Times New Roman"/>
          <w:i/>
          <w:sz w:val="20"/>
          <w:szCs w:val="20"/>
        </w:rPr>
        <w:t>Bakgatla</w:t>
      </w:r>
      <w:proofErr w:type="spellEnd"/>
      <w:r w:rsidRPr="00F43E80">
        <w:rPr>
          <w:rFonts w:ascii="Times New Roman" w:hAnsi="Times New Roman" w:cs="Times New Roman"/>
          <w:i/>
          <w:sz w:val="20"/>
          <w:szCs w:val="20"/>
        </w:rPr>
        <w:t xml:space="preserve"> Mineral Resources </w:t>
      </w:r>
      <w:r w:rsidRPr="00F43E80">
        <w:rPr>
          <w:rFonts w:ascii="Times New Roman" w:hAnsi="Times New Roman" w:cs="Times New Roman"/>
          <w:iCs/>
          <w:sz w:val="20"/>
          <w:szCs w:val="20"/>
        </w:rPr>
        <w:t>2019 (1) BCLR 53 (CC)</w:t>
      </w:r>
    </w:p>
    <w:p w14:paraId="2F24BEEC"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i/>
          <w:sz w:val="20"/>
          <w:szCs w:val="20"/>
        </w:rPr>
        <w:t xml:space="preserve">Occupiers of 51 Olivia Road, Berea Township and 197 Main Street, Johannesburg v City of Johannesburg </w:t>
      </w:r>
      <w:r w:rsidRPr="00F43E80">
        <w:rPr>
          <w:rFonts w:ascii="Times New Roman" w:hAnsi="Times New Roman" w:cs="Times New Roman"/>
          <w:sz w:val="20"/>
          <w:szCs w:val="20"/>
        </w:rPr>
        <w:t>2008 (3) SA 208 (CC)</w:t>
      </w:r>
    </w:p>
    <w:p w14:paraId="2FBD399B"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 xml:space="preserve">Occupiers of Saratoga Avenue v City of Johannesburg Metropolitan Municipality and Another </w:t>
      </w:r>
      <w:r w:rsidRPr="00F43E80">
        <w:rPr>
          <w:rFonts w:ascii="Times New Roman" w:hAnsi="Times New Roman" w:cs="Times New Roman"/>
        </w:rPr>
        <w:t xml:space="preserve">2012 (9) BCLR 951 (CC). </w:t>
      </w:r>
    </w:p>
    <w:p w14:paraId="0957A8EF"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 xml:space="preserve">Occupiers of </w:t>
      </w:r>
      <w:proofErr w:type="spellStart"/>
      <w:r w:rsidRPr="00F43E80">
        <w:rPr>
          <w:rFonts w:ascii="Times New Roman" w:hAnsi="Times New Roman" w:cs="Times New Roman"/>
          <w:i/>
        </w:rPr>
        <w:t>Skurweplaas</w:t>
      </w:r>
      <w:proofErr w:type="spellEnd"/>
      <w:r w:rsidRPr="00F43E80">
        <w:rPr>
          <w:rFonts w:ascii="Times New Roman" w:hAnsi="Times New Roman" w:cs="Times New Roman"/>
          <w:i/>
        </w:rPr>
        <w:t xml:space="preserve"> v PPC Aggregate Queries</w:t>
      </w:r>
      <w:r w:rsidRPr="00F43E80">
        <w:rPr>
          <w:rFonts w:ascii="Times New Roman" w:hAnsi="Times New Roman" w:cs="Times New Roman"/>
        </w:rPr>
        <w:t xml:space="preserve"> 2012 (4) BCLR 382 (CC) (hereinafter </w:t>
      </w:r>
      <w:proofErr w:type="spellStart"/>
      <w:r w:rsidRPr="00F43E80">
        <w:rPr>
          <w:rFonts w:ascii="Times New Roman" w:hAnsi="Times New Roman" w:cs="Times New Roman"/>
          <w:i/>
          <w:iCs/>
        </w:rPr>
        <w:t>Skurweplaas</w:t>
      </w:r>
      <w:proofErr w:type="spellEnd"/>
      <w:r w:rsidRPr="00F43E80">
        <w:rPr>
          <w:rFonts w:ascii="Times New Roman" w:hAnsi="Times New Roman" w:cs="Times New Roman"/>
        </w:rPr>
        <w:t>).</w:t>
      </w:r>
    </w:p>
    <w:p w14:paraId="02F88017"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proofErr w:type="spellStart"/>
      <w:r w:rsidRPr="00F43E80">
        <w:rPr>
          <w:rFonts w:ascii="Times New Roman" w:hAnsi="Times New Roman" w:cs="Times New Roman"/>
          <w:i/>
          <w:sz w:val="20"/>
          <w:szCs w:val="20"/>
        </w:rPr>
        <w:t>Pheko</w:t>
      </w:r>
      <w:proofErr w:type="spellEnd"/>
      <w:r w:rsidRPr="00F43E80">
        <w:rPr>
          <w:rFonts w:ascii="Times New Roman" w:hAnsi="Times New Roman" w:cs="Times New Roman"/>
          <w:i/>
          <w:sz w:val="20"/>
          <w:szCs w:val="20"/>
        </w:rPr>
        <w:t xml:space="preserve"> and Others v Ekurhuleni Metropolitan Municipality</w:t>
      </w:r>
      <w:r w:rsidRPr="00F43E80">
        <w:rPr>
          <w:rFonts w:ascii="Times New Roman" w:hAnsi="Times New Roman" w:cs="Times New Roman"/>
          <w:sz w:val="20"/>
          <w:szCs w:val="20"/>
        </w:rPr>
        <w:t xml:space="preserve"> 2012 (4) BCLR 388 (CC). </w:t>
      </w:r>
    </w:p>
    <w:p w14:paraId="1256ACBA" w14:textId="77777777" w:rsidR="009C0ACF" w:rsidRPr="00F43E80" w:rsidRDefault="009C0ACF" w:rsidP="00F43E80">
      <w:pPr>
        <w:pStyle w:val="FootnoteText"/>
        <w:numPr>
          <w:ilvl w:val="0"/>
          <w:numId w:val="50"/>
        </w:numPr>
        <w:tabs>
          <w:tab w:val="left" w:pos="284"/>
        </w:tabs>
        <w:ind w:left="284" w:right="33" w:hanging="284"/>
        <w:jc w:val="both"/>
        <w:rPr>
          <w:rFonts w:ascii="Times New Roman" w:hAnsi="Times New Roman" w:cs="Times New Roman"/>
        </w:rPr>
      </w:pPr>
      <w:r w:rsidRPr="00F43E80">
        <w:rPr>
          <w:rFonts w:ascii="Times New Roman" w:hAnsi="Times New Roman" w:cs="Times New Roman"/>
          <w:i/>
        </w:rPr>
        <w:t xml:space="preserve">Residents of Joe </w:t>
      </w:r>
      <w:proofErr w:type="spellStart"/>
      <w:r w:rsidRPr="00F43E80">
        <w:rPr>
          <w:rFonts w:ascii="Times New Roman" w:hAnsi="Times New Roman" w:cs="Times New Roman"/>
          <w:i/>
        </w:rPr>
        <w:t>Slovo</w:t>
      </w:r>
      <w:proofErr w:type="spellEnd"/>
      <w:r w:rsidRPr="00F43E80">
        <w:rPr>
          <w:rFonts w:ascii="Times New Roman" w:hAnsi="Times New Roman" w:cs="Times New Roman"/>
          <w:i/>
        </w:rPr>
        <w:t xml:space="preserve"> Community, Western Cape v </w:t>
      </w:r>
      <w:proofErr w:type="spellStart"/>
      <w:r w:rsidRPr="00F43E80">
        <w:rPr>
          <w:rFonts w:ascii="Times New Roman" w:hAnsi="Times New Roman" w:cs="Times New Roman"/>
          <w:i/>
        </w:rPr>
        <w:t>Thubelisha</w:t>
      </w:r>
      <w:proofErr w:type="spellEnd"/>
      <w:r w:rsidRPr="00F43E80">
        <w:rPr>
          <w:rFonts w:ascii="Times New Roman" w:hAnsi="Times New Roman" w:cs="Times New Roman"/>
          <w:i/>
        </w:rPr>
        <w:t xml:space="preserve"> Homes and </w:t>
      </w:r>
      <w:r w:rsidRPr="00F43E80">
        <w:rPr>
          <w:rFonts w:ascii="Times New Roman" w:hAnsi="Times New Roman" w:cs="Times New Roman"/>
          <w:i/>
          <w:iCs/>
        </w:rPr>
        <w:t>Others</w:t>
      </w:r>
      <w:r w:rsidRPr="00F43E80">
        <w:rPr>
          <w:rFonts w:ascii="Times New Roman" w:hAnsi="Times New Roman" w:cs="Times New Roman"/>
        </w:rPr>
        <w:t xml:space="preserve"> 2010 (3) SA 545 (CC).</w:t>
      </w:r>
    </w:p>
    <w:p w14:paraId="222D2228"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i/>
          <w:sz w:val="20"/>
          <w:szCs w:val="20"/>
        </w:rPr>
        <w:t xml:space="preserve">Schubart Park Residents’ Association v City of Tshwane Metropolitan Municipality </w:t>
      </w:r>
      <w:r w:rsidRPr="00F43E80">
        <w:rPr>
          <w:rFonts w:ascii="Times New Roman" w:hAnsi="Times New Roman" w:cs="Times New Roman"/>
          <w:sz w:val="20"/>
          <w:szCs w:val="20"/>
        </w:rPr>
        <w:t>2012 (1) BCLR 68 (CC).</w:t>
      </w:r>
    </w:p>
    <w:p w14:paraId="3884270F"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sz w:val="20"/>
          <w:szCs w:val="20"/>
        </w:rPr>
      </w:pPr>
      <w:r w:rsidRPr="00F43E80">
        <w:rPr>
          <w:rFonts w:ascii="Times New Roman" w:hAnsi="Times New Roman" w:cs="Times New Roman"/>
          <w:i/>
          <w:iCs/>
          <w:sz w:val="20"/>
          <w:szCs w:val="20"/>
        </w:rPr>
        <w:t xml:space="preserve">The Government of the Republic of South Africa and Others v Grootboom and Others </w:t>
      </w:r>
      <w:r w:rsidRPr="00F43E80">
        <w:rPr>
          <w:rFonts w:ascii="Times New Roman" w:hAnsi="Times New Roman" w:cs="Times New Roman"/>
          <w:sz w:val="20"/>
          <w:szCs w:val="20"/>
        </w:rPr>
        <w:t>2001 (1) SA 46 (CC).</w:t>
      </w:r>
    </w:p>
    <w:p w14:paraId="40DB2BB6" w14:textId="77777777" w:rsidR="009C0ACF" w:rsidRPr="00F43E80" w:rsidRDefault="009C0ACF" w:rsidP="00F43E80">
      <w:pPr>
        <w:pStyle w:val="ListParagraph"/>
        <w:numPr>
          <w:ilvl w:val="0"/>
          <w:numId w:val="50"/>
        </w:numPr>
        <w:tabs>
          <w:tab w:val="left" w:pos="284"/>
        </w:tabs>
        <w:ind w:left="284" w:right="33" w:hanging="284"/>
        <w:jc w:val="both"/>
        <w:rPr>
          <w:rFonts w:ascii="Times New Roman" w:hAnsi="Times New Roman" w:cs="Times New Roman"/>
          <w:iCs/>
          <w:sz w:val="20"/>
          <w:szCs w:val="20"/>
        </w:rPr>
      </w:pPr>
      <w:proofErr w:type="spellStart"/>
      <w:r w:rsidRPr="00F43E80">
        <w:rPr>
          <w:rFonts w:ascii="Times New Roman" w:hAnsi="Times New Roman" w:cs="Times New Roman"/>
          <w:i/>
          <w:sz w:val="20"/>
          <w:szCs w:val="20"/>
        </w:rPr>
        <w:t>Thubagale</w:t>
      </w:r>
      <w:proofErr w:type="spellEnd"/>
      <w:r w:rsidRPr="00F43E80">
        <w:rPr>
          <w:rFonts w:ascii="Times New Roman" w:hAnsi="Times New Roman" w:cs="Times New Roman"/>
          <w:i/>
          <w:sz w:val="20"/>
          <w:szCs w:val="20"/>
        </w:rPr>
        <w:t xml:space="preserve"> v Ekurhuleni Metropolitan Municipality </w:t>
      </w:r>
      <w:r w:rsidRPr="00F43E80">
        <w:rPr>
          <w:rFonts w:ascii="Times New Roman" w:hAnsi="Times New Roman" w:cs="Times New Roman"/>
          <w:iCs/>
          <w:sz w:val="20"/>
          <w:szCs w:val="20"/>
        </w:rPr>
        <w:t xml:space="preserve">2022 (8) BCLR 985 (CC). </w:t>
      </w:r>
    </w:p>
    <w:p w14:paraId="3328C6FA" w14:textId="77777777" w:rsidR="009C0ACF" w:rsidRPr="00F43E80" w:rsidRDefault="009C0ACF" w:rsidP="00F43E80">
      <w:pPr>
        <w:tabs>
          <w:tab w:val="left" w:pos="284"/>
        </w:tabs>
        <w:ind w:left="284" w:right="33" w:hanging="284"/>
        <w:jc w:val="both"/>
        <w:rPr>
          <w:rFonts w:ascii="Times New Roman" w:hAnsi="Times New Roman" w:cs="Times New Roman"/>
          <w:iCs/>
          <w:sz w:val="20"/>
          <w:szCs w:val="20"/>
        </w:rPr>
      </w:pPr>
    </w:p>
    <w:p w14:paraId="3E6620D7" w14:textId="77777777" w:rsidR="009C0ACF" w:rsidRPr="00F43E80" w:rsidRDefault="009C0ACF" w:rsidP="00F43E80">
      <w:pPr>
        <w:tabs>
          <w:tab w:val="left" w:pos="284"/>
        </w:tabs>
        <w:ind w:left="284" w:right="33" w:hanging="284"/>
        <w:jc w:val="both"/>
        <w:rPr>
          <w:rFonts w:ascii="Times New Roman" w:hAnsi="Times New Roman" w:cs="Times New Roman"/>
          <w:iCs/>
          <w:sz w:val="20"/>
          <w:szCs w:val="20"/>
        </w:rPr>
      </w:pPr>
    </w:p>
    <w:p w14:paraId="6F069E89" w14:textId="77777777" w:rsidR="009C0ACF" w:rsidRPr="00F43E80" w:rsidRDefault="009C0ACF" w:rsidP="00F43E80">
      <w:pPr>
        <w:tabs>
          <w:tab w:val="left" w:pos="284"/>
        </w:tabs>
        <w:ind w:left="284" w:right="33" w:hanging="284"/>
        <w:jc w:val="both"/>
        <w:rPr>
          <w:rFonts w:ascii="Times New Roman" w:hAnsi="Times New Roman" w:cs="Times New Roman"/>
          <w:sz w:val="20"/>
          <w:szCs w:val="20"/>
        </w:rPr>
      </w:pPr>
    </w:p>
    <w:p w14:paraId="08998656" w14:textId="77777777" w:rsidR="002B4456" w:rsidRPr="00F43E80" w:rsidRDefault="002B4456" w:rsidP="00F43E80">
      <w:pPr>
        <w:tabs>
          <w:tab w:val="left" w:pos="284"/>
        </w:tabs>
        <w:ind w:left="284" w:right="33" w:hanging="284"/>
        <w:jc w:val="both"/>
        <w:rPr>
          <w:rFonts w:ascii="Times New Roman" w:hAnsi="Times New Roman" w:cs="Times New Roman"/>
          <w:sz w:val="20"/>
          <w:szCs w:val="20"/>
        </w:rPr>
      </w:pPr>
    </w:p>
    <w:sectPr w:rsidR="002B4456" w:rsidRPr="00F43E80" w:rsidSect="00FD48AC">
      <w:headerReference w:type="even" r:id="rId7"/>
      <w:headerReference w:type="default" r:id="rId8"/>
      <w:footerReference w:type="even" r:id="rId9"/>
      <w:footerReference w:type="default" r:id="rId10"/>
      <w:headerReference w:type="first" r:id="rId11"/>
      <w:footerReference w:type="first" r:id="rId12"/>
      <w:pgSz w:w="11906" w:h="16838" w:code="9"/>
      <w:pgMar w:top="1021" w:right="1066" w:bottom="964" w:left="1168" w:header="851" w:footer="777" w:gutter="0"/>
      <w:pgNumType w:start="1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0598" w14:textId="77777777" w:rsidR="000A7458" w:rsidRDefault="000A7458" w:rsidP="009C0ACF">
      <w:r>
        <w:separator/>
      </w:r>
    </w:p>
  </w:endnote>
  <w:endnote w:type="continuationSeparator" w:id="0">
    <w:p w14:paraId="204DEA21" w14:textId="77777777" w:rsidR="000A7458" w:rsidRDefault="000A7458" w:rsidP="009C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283740"/>
      <w:docPartObj>
        <w:docPartGallery w:val="Page Numbers (Bottom of Page)"/>
        <w:docPartUnique/>
      </w:docPartObj>
    </w:sdtPr>
    <w:sdtContent>
      <w:p w14:paraId="1F0C0FE2" w14:textId="604ECEB5" w:rsidR="008D116D" w:rsidRDefault="008D116D" w:rsidP="006270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123870" w14:textId="77777777" w:rsidR="008D116D" w:rsidRDefault="008D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43328"/>
      <w:docPartObj>
        <w:docPartGallery w:val="Page Numbers (Bottom of Page)"/>
        <w:docPartUnique/>
      </w:docPartObj>
    </w:sdtPr>
    <w:sdtEndPr>
      <w:rPr>
        <w:noProof/>
      </w:rPr>
    </w:sdtEndPr>
    <w:sdtContent>
      <w:p w14:paraId="7993630F" w14:textId="40696D9D" w:rsidR="00CB421A" w:rsidRDefault="00CB421A" w:rsidP="00CB421A">
        <w:pPr>
          <w:pStyle w:val="Footer"/>
        </w:pPr>
        <w:r>
          <w:t xml:space="preserve">Volume-12 | Issue-1 | May 2026                                                                                                               </w:t>
        </w:r>
        <w:r>
          <w:fldChar w:fldCharType="begin"/>
        </w:r>
        <w:r>
          <w:instrText xml:space="preserve"> PAGE   \* MERGEFORMAT </w:instrText>
        </w:r>
        <w:r>
          <w:fldChar w:fldCharType="separate"/>
        </w:r>
        <w:r>
          <w:rPr>
            <w:noProof/>
          </w:rPr>
          <w:t>2</w:t>
        </w:r>
        <w:r>
          <w:rPr>
            <w:noProof/>
          </w:rPr>
          <w:fldChar w:fldCharType="end"/>
        </w:r>
      </w:p>
    </w:sdtContent>
  </w:sdt>
  <w:p w14:paraId="487559CA" w14:textId="4220A62A" w:rsidR="007A64AE" w:rsidRPr="007E2516" w:rsidRDefault="007A64AE" w:rsidP="007A64AE">
    <w:pPr>
      <w:pStyle w:val="Footer"/>
      <w:tabs>
        <w:tab w:val="right" w:pos="9639"/>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9CEE" w14:textId="77777777" w:rsidR="00175BDB" w:rsidRDefault="0017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049A" w14:textId="77777777" w:rsidR="000A7458" w:rsidRDefault="000A7458" w:rsidP="009C0ACF">
      <w:r>
        <w:separator/>
      </w:r>
    </w:p>
  </w:footnote>
  <w:footnote w:type="continuationSeparator" w:id="0">
    <w:p w14:paraId="04A84687" w14:textId="77777777" w:rsidR="000A7458" w:rsidRDefault="000A7458" w:rsidP="009C0ACF">
      <w:r>
        <w:continuationSeparator/>
      </w:r>
    </w:p>
  </w:footnote>
  <w:footnote w:id="1">
    <w:p w14:paraId="6BFCE414"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r w:rsidRPr="00F43E80">
        <w:rPr>
          <w:rFonts w:ascii="Times New Roman" w:hAnsi="Times New Roman" w:cs="Times New Roman"/>
          <w:color w:val="000000"/>
        </w:rPr>
        <w:t>Charnell Commando and Others v City of Cape Town and Another 2025 (3) SA 1 (CC).</w:t>
      </w:r>
    </w:p>
  </w:footnote>
  <w:footnote w:id="2">
    <w:p w14:paraId="5FC6CC46"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r w:rsidRPr="00F43E80">
        <w:rPr>
          <w:rFonts w:ascii="Times New Roman" w:hAnsi="Times New Roman" w:cs="Times New Roman"/>
          <w:color w:val="000000"/>
        </w:rPr>
        <w:t>Olivia Road, Berea Township and 197 Main Street, Johannesburg v City of Johannesburg 2008 (3) SA 208 (CC).</w:t>
      </w:r>
    </w:p>
  </w:footnote>
  <w:footnote w:id="3">
    <w:p w14:paraId="689780C1"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The Constitution of the Republic of South Africa, 1996.</w:t>
      </w:r>
    </w:p>
    <w:p w14:paraId="17335876" w14:textId="77777777" w:rsidR="009C0ACF" w:rsidRPr="00F43E80" w:rsidRDefault="009C0ACF" w:rsidP="009C0ACF">
      <w:pPr>
        <w:pStyle w:val="FootnoteText"/>
        <w:rPr>
          <w:rFonts w:ascii="Times New Roman" w:hAnsi="Times New Roman" w:cs="Times New Roman"/>
          <w:lang w:val="en-US"/>
        </w:rPr>
      </w:pPr>
    </w:p>
  </w:footnote>
  <w:footnote w:id="4">
    <w:p w14:paraId="27D5735F"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r w:rsidRPr="00F43E80">
        <w:rPr>
          <w:rFonts w:ascii="Times New Roman" w:hAnsi="Times New Roman" w:cs="Times New Roman"/>
          <w:lang w:val="en-US"/>
        </w:rPr>
        <w:t>General Comment No. 4 was adopted on 12 December 1991 and General Comment No. 7 was adopted on 16 May 1992.</w:t>
      </w:r>
    </w:p>
  </w:footnote>
  <w:footnote w:id="5">
    <w:p w14:paraId="42B7C872" w14:textId="77777777" w:rsidR="009C0ACF" w:rsidRPr="00F43E80" w:rsidRDefault="009C0ACF" w:rsidP="009C0ACF">
      <w:pPr>
        <w:pStyle w:val="FootnoteText"/>
        <w:jc w:val="both"/>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lang w:val="en-US"/>
        </w:rPr>
        <w:t>General Comment No. 4 (1991) para 18.</w:t>
      </w:r>
    </w:p>
  </w:footnote>
  <w:footnote w:id="6">
    <w:p w14:paraId="1F919B7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UNCHR Resolution 1993/77 para 4.</w:t>
      </w:r>
    </w:p>
  </w:footnote>
  <w:footnote w:id="7">
    <w:p w14:paraId="458908F3" w14:textId="75E33A4E" w:rsidR="004A2A69" w:rsidRPr="00F43E80" w:rsidRDefault="004A2A69">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r w:rsidR="00F61BD8" w:rsidRPr="00F43E80">
        <w:rPr>
          <w:rFonts w:ascii="Times New Roman" w:hAnsi="Times New Roman" w:cs="Times New Roman"/>
        </w:rPr>
        <w:t>The PIE Act requires landlords to follow  a strict legal court process for any eviction which includes providing written notice to the occupant, serving formal court application and a section 4(2) notice by the sheriff, attendance of the court hearing, court decides  required to decide if the eviction is “just and equitable” after considering all relevant circumstances, including the rights of the vulnerable people.</w:t>
      </w:r>
    </w:p>
  </w:footnote>
  <w:footnote w:id="8">
    <w:p w14:paraId="3005630B" w14:textId="77777777" w:rsidR="009C0ACF" w:rsidRPr="00F43E80" w:rsidRDefault="009C0ACF" w:rsidP="009C0ACF">
      <w:pPr>
        <w:pStyle w:val="FootnoteText"/>
        <w:rPr>
          <w:rFonts w:ascii="Times New Roman" w:hAnsi="Times New Roman" w:cs="Times New Roman"/>
          <w:color w:val="EE0000"/>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PIE Act section 4(7).</w:t>
      </w:r>
    </w:p>
  </w:footnote>
  <w:footnote w:id="9">
    <w:p w14:paraId="59B575C9"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(2008) para 14.</w:t>
      </w:r>
    </w:p>
  </w:footnote>
  <w:footnote w:id="10">
    <w:p w14:paraId="461BADB6" w14:textId="69EA1A41" w:rsidR="00F61BD8" w:rsidRPr="00F43E80" w:rsidRDefault="00F61BD8">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proofErr w:type="spellStart"/>
      <w:r w:rsidRPr="00F43E80">
        <w:rPr>
          <w:rFonts w:ascii="Times New Roman" w:hAnsi="Times New Roman" w:cs="Times New Roman"/>
          <w:lang w:val="en-US"/>
        </w:rPr>
        <w:t>Munakanwe</w:t>
      </w:r>
      <w:proofErr w:type="spellEnd"/>
      <w:r w:rsidRPr="00F43E80">
        <w:rPr>
          <w:rFonts w:ascii="Times New Roman" w:hAnsi="Times New Roman" w:cs="Times New Roman"/>
          <w:lang w:val="en-US"/>
        </w:rPr>
        <w:t xml:space="preserve"> J</w:t>
      </w:r>
      <w:r w:rsidR="001826F3" w:rsidRPr="00F43E80">
        <w:rPr>
          <w:rFonts w:ascii="Times New Roman" w:hAnsi="Times New Roman" w:cs="Times New Roman"/>
          <w:lang w:val="en-US"/>
        </w:rPr>
        <w:t xml:space="preserve"> &amp; </w:t>
      </w:r>
      <w:proofErr w:type="spellStart"/>
      <w:r w:rsidR="001826F3" w:rsidRPr="00F43E80">
        <w:rPr>
          <w:rFonts w:ascii="Times New Roman" w:hAnsi="Times New Roman" w:cs="Times New Roman"/>
          <w:lang w:val="en-US"/>
        </w:rPr>
        <w:t>Luthango</w:t>
      </w:r>
      <w:proofErr w:type="spellEnd"/>
      <w:r w:rsidR="001826F3" w:rsidRPr="00F43E80">
        <w:rPr>
          <w:rFonts w:ascii="Times New Roman" w:hAnsi="Times New Roman" w:cs="Times New Roman"/>
          <w:lang w:val="en-US"/>
        </w:rPr>
        <w:t xml:space="preserve"> S Dispossession and evictions in post-apartheid South Africa: Three decades into the democratic transition, land rights remain a highly contested good (2024) Rosa Luxemburg Stiftung at 122, also read van Staden M Colonialism and apartheid stripped black South </w:t>
      </w:r>
      <w:r w:rsidR="00396A34" w:rsidRPr="00F43E80">
        <w:rPr>
          <w:rFonts w:ascii="Times New Roman" w:hAnsi="Times New Roman" w:cs="Times New Roman"/>
          <w:lang w:val="en-US"/>
        </w:rPr>
        <w:t>Africans</w:t>
      </w:r>
      <w:r w:rsidR="001826F3" w:rsidRPr="00F43E80">
        <w:rPr>
          <w:rFonts w:ascii="Times New Roman" w:hAnsi="Times New Roman" w:cs="Times New Roman"/>
          <w:lang w:val="en-US"/>
        </w:rPr>
        <w:t xml:space="preserve"> of land and </w:t>
      </w:r>
      <w:proofErr w:type="spellStart"/>
      <w:r w:rsidR="001826F3" w:rsidRPr="00F43E80">
        <w:rPr>
          <w:rFonts w:ascii="Times New Roman" w:hAnsi="Times New Roman" w:cs="Times New Roman"/>
          <w:lang w:val="en-US"/>
        </w:rPr>
        <w:t>labour</w:t>
      </w:r>
      <w:proofErr w:type="spellEnd"/>
      <w:r w:rsidR="001826F3" w:rsidRPr="00F43E80">
        <w:rPr>
          <w:rFonts w:ascii="Times New Roman" w:hAnsi="Times New Roman" w:cs="Times New Roman"/>
          <w:lang w:val="en-US"/>
        </w:rPr>
        <w:t xml:space="preserve"> rights (2024) The Conversations at 16.</w:t>
      </w:r>
    </w:p>
  </w:footnote>
  <w:footnote w:id="11">
    <w:p w14:paraId="2174833A" w14:textId="77777777" w:rsidR="009C0ACF" w:rsidRPr="00F43E80" w:rsidRDefault="009C0ACF" w:rsidP="009C0ACF">
      <w:pPr>
        <w:pStyle w:val="FootnoteText"/>
        <w:jc w:val="both"/>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This Act gave local authorities powers to declare premises or pieces of land a slum in terms of section 4(7)(a). When premises were declared a slum, the owner would be required, on notice by the local authority, to remove the nuisance, demolish the slum, or face expropriation. </w:t>
      </w:r>
    </w:p>
  </w:footnote>
  <w:footnote w:id="12">
    <w:p w14:paraId="0DDB0E6E" w14:textId="77777777" w:rsidR="009C0ACF" w:rsidRPr="00F43E80" w:rsidRDefault="009C0ACF" w:rsidP="009C0ACF">
      <w:pPr>
        <w:pStyle w:val="FootnoteText"/>
        <w:jc w:val="both"/>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lang w:val="en-US"/>
        </w:rPr>
        <w:t xml:space="preserve"> The Act criminalised entrance to or presence on land without the permission of the owner or lawful occupier. </w:t>
      </w:r>
    </w:p>
  </w:footnote>
  <w:footnote w:id="13">
    <w:p w14:paraId="27C55AF1" w14:textId="77777777" w:rsidR="009C0ACF" w:rsidRPr="00F43E80" w:rsidRDefault="009C0ACF" w:rsidP="009C0ACF">
      <w:pPr>
        <w:pStyle w:val="FootnoteText"/>
        <w:jc w:val="both"/>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The Act prescribed procedures to be adhered to in the erection of structures for both occupation and commercial purposes. The Act criminalises non-compliance with the prescribed procedures and provides for harsh penalties, which include demolition of the erected structures.</w:t>
      </w:r>
    </w:p>
  </w:footnote>
  <w:footnote w:id="14">
    <w:p w14:paraId="593EA63E" w14:textId="50F39EE7" w:rsidR="009C0ACF" w:rsidRPr="00F43E80" w:rsidRDefault="009C0ACF" w:rsidP="009C0ACF">
      <w:pPr>
        <w:pStyle w:val="FootnoteText"/>
        <w:jc w:val="both"/>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This Act authorises local authorities to take all “lawful, necessary and reasonably practical measures” to maintain hygienic and clean conditions, to prevent the occurrence of nuisances and unhygienic conditions, and to prevent pollution of water or any other condition that could be harmful or dangerous to the health of any person or community. </w:t>
      </w:r>
    </w:p>
  </w:footnote>
  <w:footnote w:id="15">
    <w:p w14:paraId="537C786E"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To strengthen influx control, the PIE Act was amended four times: in 1976, 1977, 1980, and 1988. </w:t>
      </w:r>
    </w:p>
  </w:footnote>
  <w:footnote w:id="16">
    <w:p w14:paraId="511EEB01" w14:textId="2B62B366" w:rsidR="0062655A" w:rsidRPr="00F43E80" w:rsidRDefault="0062655A">
      <w:pPr>
        <w:pStyle w:val="FootnoteText"/>
        <w:rPr>
          <w:rFonts w:ascii="Times New Roman" w:hAnsi="Times New Roman" w:cs="Times New Roman"/>
          <w:color w:val="000000" w:themeColor="text1"/>
          <w:lang w:val="en-US"/>
        </w:rPr>
      </w:pPr>
      <w:r w:rsidRPr="00F43E80">
        <w:rPr>
          <w:rStyle w:val="FootnoteReference"/>
          <w:rFonts w:ascii="Times New Roman" w:hAnsi="Times New Roman" w:cs="Times New Roman"/>
          <w:color w:val="000000" w:themeColor="text1"/>
        </w:rPr>
        <w:footnoteRef/>
      </w:r>
      <w:r w:rsidRPr="00F43E80">
        <w:rPr>
          <w:rFonts w:ascii="Times New Roman" w:hAnsi="Times New Roman" w:cs="Times New Roman"/>
          <w:color w:val="000000" w:themeColor="text1"/>
        </w:rPr>
        <w:t xml:space="preserve"> </w:t>
      </w:r>
      <w:proofErr w:type="spellStart"/>
      <w:r w:rsidRPr="00F43E80">
        <w:rPr>
          <w:rFonts w:ascii="Times New Roman" w:hAnsi="Times New Roman" w:cs="Times New Roman"/>
          <w:color w:val="000000" w:themeColor="text1"/>
          <w:lang w:val="en-US"/>
        </w:rPr>
        <w:t>Madjiedt</w:t>
      </w:r>
      <w:proofErr w:type="spellEnd"/>
      <w:r w:rsidRPr="00F43E80">
        <w:rPr>
          <w:rFonts w:ascii="Times New Roman" w:hAnsi="Times New Roman" w:cs="Times New Roman"/>
          <w:color w:val="000000" w:themeColor="text1"/>
          <w:lang w:val="en-US"/>
        </w:rPr>
        <w:t xml:space="preserve"> S </w:t>
      </w:r>
      <w:r w:rsidR="004A2A69" w:rsidRPr="00F43E80">
        <w:rPr>
          <w:rFonts w:ascii="Times New Roman" w:hAnsi="Times New Roman" w:cs="Times New Roman"/>
          <w:color w:val="000000" w:themeColor="text1"/>
          <w:lang w:val="en-US"/>
        </w:rPr>
        <w:t>“</w:t>
      </w:r>
      <w:r w:rsidRPr="00F43E80">
        <w:rPr>
          <w:rFonts w:ascii="Times New Roman" w:hAnsi="Times New Roman" w:cs="Times New Roman"/>
          <w:color w:val="000000" w:themeColor="text1"/>
          <w:lang w:val="en-US"/>
        </w:rPr>
        <w:t>Dreams and aspirations deferred? The Constitutional Court’s approach to the fulfilment of socio-economic rights in the constitution</w:t>
      </w:r>
      <w:r w:rsidR="004A2A69" w:rsidRPr="00F43E80">
        <w:rPr>
          <w:rFonts w:ascii="Times New Roman" w:hAnsi="Times New Roman" w:cs="Times New Roman"/>
          <w:color w:val="000000" w:themeColor="text1"/>
          <w:lang w:val="en-US"/>
        </w:rPr>
        <w:t>”</w:t>
      </w:r>
      <w:r w:rsidRPr="00F43E80">
        <w:rPr>
          <w:rFonts w:ascii="Times New Roman" w:hAnsi="Times New Roman" w:cs="Times New Roman"/>
          <w:color w:val="000000" w:themeColor="text1"/>
          <w:lang w:val="en-US"/>
        </w:rPr>
        <w:t xml:space="preserve"> </w:t>
      </w:r>
      <w:r w:rsidR="00B75C19" w:rsidRPr="00F43E80">
        <w:rPr>
          <w:rFonts w:ascii="Times New Roman" w:hAnsi="Times New Roman" w:cs="Times New Roman"/>
          <w:color w:val="000000" w:themeColor="text1"/>
          <w:lang w:val="en-US"/>
        </w:rPr>
        <w:t xml:space="preserve">(2022) 26 </w:t>
      </w:r>
      <w:r w:rsidRPr="00F43E80">
        <w:rPr>
          <w:rFonts w:ascii="Times New Roman" w:hAnsi="Times New Roman" w:cs="Times New Roman"/>
          <w:color w:val="000000" w:themeColor="text1"/>
          <w:lang w:val="en-US"/>
        </w:rPr>
        <w:t xml:space="preserve">Law, Democracy and Development </w:t>
      </w:r>
      <w:r w:rsidR="00B75C19" w:rsidRPr="00F43E80">
        <w:rPr>
          <w:rFonts w:ascii="Times New Roman" w:hAnsi="Times New Roman" w:cs="Times New Roman"/>
          <w:color w:val="000000" w:themeColor="text1"/>
          <w:lang w:val="en-US"/>
        </w:rPr>
        <w:t>at 3</w:t>
      </w:r>
      <w:r w:rsidRPr="00F43E80">
        <w:rPr>
          <w:rFonts w:ascii="Times New Roman" w:hAnsi="Times New Roman" w:cs="Times New Roman"/>
          <w:color w:val="000000" w:themeColor="text1"/>
          <w:lang w:val="en-US"/>
        </w:rPr>
        <w:t>.</w:t>
      </w:r>
    </w:p>
  </w:footnote>
  <w:footnote w:id="17">
    <w:p w14:paraId="692500FB" w14:textId="77777777" w:rsidR="009C0ACF" w:rsidRPr="00F43E80" w:rsidRDefault="009C0ACF" w:rsidP="009C0ACF">
      <w:pPr>
        <w:jc w:val="both"/>
        <w:rPr>
          <w:rFonts w:ascii="Times New Roman" w:hAnsi="Times New Roman" w:cs="Times New Roman"/>
          <w:b/>
          <w:bCs/>
          <w:sz w:val="20"/>
          <w:szCs w:val="20"/>
        </w:rPr>
      </w:pPr>
      <w:r w:rsidRPr="00F43E80">
        <w:rPr>
          <w:rStyle w:val="FootnoteReference"/>
          <w:rFonts w:ascii="Times New Roman" w:hAnsi="Times New Roman" w:cs="Times New Roman"/>
          <w:sz w:val="20"/>
          <w:szCs w:val="20"/>
        </w:rPr>
        <w:footnoteRef/>
      </w:r>
      <w:r w:rsidRPr="00F43E80">
        <w:rPr>
          <w:rFonts w:ascii="Times New Roman" w:hAnsi="Times New Roman" w:cs="Times New Roman"/>
          <w:sz w:val="20"/>
          <w:szCs w:val="20"/>
        </w:rPr>
        <w:t xml:space="preserve"> </w:t>
      </w:r>
      <w:proofErr w:type="spellStart"/>
      <w:r w:rsidRPr="00F43E80">
        <w:rPr>
          <w:rFonts w:ascii="Times New Roman" w:hAnsi="Times New Roman" w:cs="Times New Roman"/>
          <w:sz w:val="20"/>
          <w:szCs w:val="20"/>
        </w:rPr>
        <w:t>Tushnet</w:t>
      </w:r>
      <w:proofErr w:type="spellEnd"/>
      <w:r w:rsidRPr="00F43E80">
        <w:rPr>
          <w:rFonts w:ascii="Times New Roman" w:hAnsi="Times New Roman" w:cs="Times New Roman"/>
          <w:sz w:val="20"/>
          <w:szCs w:val="20"/>
        </w:rPr>
        <w:t xml:space="preserve"> MV Weak Courts, Strong Rights: Judicial Review and Social Welfare Rights in Comparative Constitutional Law Princeton: Princeton University Press (2008) at 45.</w:t>
      </w:r>
    </w:p>
  </w:footnote>
  <w:footnote w:id="18">
    <w:p w14:paraId="4BA38209"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Liebenburg S Socio-economic rights: Adjudication under transformative constitution Claremont: Juta (2010) at 314.</w:t>
      </w:r>
    </w:p>
  </w:footnote>
  <w:footnote w:id="19">
    <w:p w14:paraId="5AC07FD7"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Liebenburg (2010) at 314-315.</w:t>
      </w:r>
    </w:p>
  </w:footnote>
  <w:footnote w:id="20">
    <w:p w14:paraId="25F53C84" w14:textId="77777777" w:rsidR="009C0ACF" w:rsidRPr="00F43E80" w:rsidRDefault="009C0ACF" w:rsidP="009C0ACF">
      <w:pPr>
        <w:pStyle w:val="FootnoteText"/>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Liebenberg S &amp; Young G Adjudicating social and economic rights: can democratic experimentalism help? London: Routledge (2014) at 242.</w:t>
      </w:r>
    </w:p>
  </w:footnote>
  <w:footnote w:id="21">
    <w:p w14:paraId="4C1F4C86" w14:textId="77777777" w:rsidR="009C0ACF" w:rsidRPr="00F43E80" w:rsidRDefault="009C0ACF" w:rsidP="009C0ACF">
      <w:pPr>
        <w:pStyle w:val="FootnoteText"/>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Liebenberg &amp; Young (2014) at 243.</w:t>
      </w:r>
    </w:p>
  </w:footnote>
  <w:footnote w:id="22">
    <w:p w14:paraId="67C78FD6"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Chenwi L &amp; Tissington K Engaging meaningfully with government on socio-economic rights: A focus on the right to housing University of the Western Cape: SERI (2010) at 5.</w:t>
      </w:r>
    </w:p>
  </w:footnote>
  <w:footnote w:id="23">
    <w:p w14:paraId="6DE5F8C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Chenwi L “A New approach to remedies in socio-economic rights adjudication: Occupiers of 51 Olivia Road v City of Johannesburg and Others” (2009) 2 Constitutional Court Review at 371. </w:t>
      </w:r>
    </w:p>
  </w:footnote>
  <w:footnote w:id="24">
    <w:p w14:paraId="2A86DE8A"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Chenwi (2009) at 392.</w:t>
      </w:r>
    </w:p>
  </w:footnote>
  <w:footnote w:id="25">
    <w:p w14:paraId="1917ACF4" w14:textId="01A12F03" w:rsidR="00B75C19" w:rsidRPr="00F43E80" w:rsidRDefault="00B75C19">
      <w:pPr>
        <w:pStyle w:val="FootnoteText"/>
        <w:rPr>
          <w:rFonts w:ascii="Times New Roman" w:hAnsi="Times New Roman" w:cs="Times New Roman"/>
          <w:color w:val="000000" w:themeColor="text1"/>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proofErr w:type="spellStart"/>
      <w:r w:rsidRPr="00F43E80">
        <w:rPr>
          <w:rFonts w:ascii="Times New Roman" w:hAnsi="Times New Roman" w:cs="Times New Roman"/>
          <w:color w:val="000000" w:themeColor="text1"/>
        </w:rPr>
        <w:t>Kollapen</w:t>
      </w:r>
      <w:proofErr w:type="spellEnd"/>
      <w:r w:rsidRPr="00F43E80">
        <w:rPr>
          <w:rFonts w:ascii="Times New Roman" w:hAnsi="Times New Roman" w:cs="Times New Roman"/>
          <w:color w:val="000000" w:themeColor="text1"/>
        </w:rPr>
        <w:t xml:space="preserve"> J “Realising socio-economic rights in an unequal society” (2024) 1 Stellenbosch Law Review at 13.</w:t>
      </w:r>
    </w:p>
  </w:footnote>
  <w:footnote w:id="26">
    <w:p w14:paraId="04B3A37C"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Ray B “Engagement possibilities and limits as a socio-economic rights remedy” (2010) 9(3) Washington University Global Studies Law Review at 400.</w:t>
      </w:r>
    </w:p>
  </w:footnote>
  <w:footnote w:id="27">
    <w:p w14:paraId="7A936C7D"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Muller G “Conceptualising meaningful engagement as a deliberative democratic partnership” (2011) 22 Stellenbosch Law Review at 744.</w:t>
      </w:r>
    </w:p>
  </w:footnote>
  <w:footnote w:id="28">
    <w:p w14:paraId="04B5EA34"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Muller (2011) at 745.</w:t>
      </w:r>
    </w:p>
  </w:footnote>
  <w:footnote w:id="29">
    <w:p w14:paraId="0D2578F1" w14:textId="4AED0A82" w:rsidR="00C84EDA" w:rsidRPr="00F43E80" w:rsidRDefault="00C84EDA">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proofErr w:type="spellStart"/>
      <w:r w:rsidRPr="00F43E80">
        <w:rPr>
          <w:rFonts w:ascii="Times New Roman" w:hAnsi="Times New Roman" w:cs="Times New Roman"/>
        </w:rPr>
        <w:t>Jagwanth</w:t>
      </w:r>
      <w:proofErr w:type="spellEnd"/>
      <w:r w:rsidRPr="00F43E80">
        <w:rPr>
          <w:rFonts w:ascii="Times New Roman" w:hAnsi="Times New Roman" w:cs="Times New Roman"/>
        </w:rPr>
        <w:t xml:space="preserve"> S and Soltan F A review of South Africa’s Intergovernmental Fiscal Relations System: An African perspective on Fiscal Decentralisation</w:t>
      </w:r>
      <w:r w:rsidR="00D94DFE" w:rsidRPr="00F43E80">
        <w:rPr>
          <w:rFonts w:ascii="Times New Roman" w:hAnsi="Times New Roman" w:cs="Times New Roman"/>
        </w:rPr>
        <w:t xml:space="preserve"> </w:t>
      </w:r>
      <w:r w:rsidRPr="00F43E80">
        <w:rPr>
          <w:rFonts w:ascii="Times New Roman" w:hAnsi="Times New Roman" w:cs="Times New Roman"/>
        </w:rPr>
        <w:t>2014 Paper for FFC Conference</w:t>
      </w:r>
      <w:r w:rsidR="00D94DFE" w:rsidRPr="00F43E80">
        <w:rPr>
          <w:rFonts w:ascii="Times New Roman" w:hAnsi="Times New Roman" w:cs="Times New Roman"/>
        </w:rPr>
        <w:t xml:space="preserve"> at 23.</w:t>
      </w:r>
    </w:p>
  </w:footnote>
  <w:footnote w:id="30">
    <w:p w14:paraId="51E68ADB" w14:textId="77777777" w:rsidR="009C0ACF" w:rsidRPr="00F43E80" w:rsidRDefault="009C0ACF" w:rsidP="009C0ACF">
      <w:pPr>
        <w:jc w:val="both"/>
        <w:rPr>
          <w:rFonts w:ascii="Times New Roman" w:hAnsi="Times New Roman" w:cs="Times New Roman"/>
          <w:sz w:val="20"/>
          <w:szCs w:val="20"/>
        </w:rPr>
      </w:pPr>
      <w:r w:rsidRPr="00F43E80">
        <w:rPr>
          <w:rStyle w:val="FootnoteReference"/>
          <w:rFonts w:ascii="Times New Roman" w:hAnsi="Times New Roman" w:cs="Times New Roman"/>
          <w:sz w:val="20"/>
          <w:szCs w:val="20"/>
        </w:rPr>
        <w:footnoteRef/>
      </w:r>
      <w:r w:rsidRPr="00F43E80">
        <w:rPr>
          <w:rFonts w:ascii="Times New Roman" w:hAnsi="Times New Roman" w:cs="Times New Roman"/>
          <w:sz w:val="20"/>
          <w:szCs w:val="20"/>
        </w:rPr>
        <w:t xml:space="preserve"> This approach is expressed in following collection of judgments: </w:t>
      </w:r>
      <w:bookmarkStart w:id="7" w:name="_Hlk207260994"/>
      <w:r w:rsidRPr="00F43E80">
        <w:rPr>
          <w:rFonts w:ascii="Times New Roman" w:hAnsi="Times New Roman" w:cs="Times New Roman"/>
          <w:sz w:val="20"/>
          <w:szCs w:val="20"/>
        </w:rPr>
        <w:t xml:space="preserve">The Government of the Republic of South Africa and Others v Grootboom and Others 2001 (1) SA 46 (CC); Occupiers of 51 Olivia Road, Berea Township and 197 Main Street, Johannesburg v City of Johannesburg 2008 (3) SA 208 (CC); </w:t>
      </w:r>
      <w:proofErr w:type="spellStart"/>
      <w:r w:rsidRPr="00F43E80">
        <w:rPr>
          <w:rFonts w:ascii="Times New Roman" w:hAnsi="Times New Roman" w:cs="Times New Roman"/>
          <w:sz w:val="20"/>
          <w:szCs w:val="20"/>
        </w:rPr>
        <w:t>Pheko</w:t>
      </w:r>
      <w:proofErr w:type="spellEnd"/>
      <w:r w:rsidRPr="00F43E80">
        <w:rPr>
          <w:rFonts w:ascii="Times New Roman" w:hAnsi="Times New Roman" w:cs="Times New Roman"/>
          <w:sz w:val="20"/>
          <w:szCs w:val="20"/>
        </w:rPr>
        <w:t xml:space="preserve"> and Others v Ekurhuleni Metropolitan Municipality 2012 (4) BCLR 388 (CC); and Schubart Park Residents’ Association v City of Tshwane Metropolitan Municipality 2012 (1) BCLR 68 (CC).</w:t>
      </w:r>
      <w:bookmarkEnd w:id="7"/>
    </w:p>
  </w:footnote>
  <w:footnote w:id="31">
    <w:p w14:paraId="1469D5B8" w14:textId="77777777" w:rsidR="009C0ACF" w:rsidRPr="00F43E80" w:rsidRDefault="009C0ACF" w:rsidP="009C0ACF">
      <w:pPr>
        <w:pStyle w:val="FootnoteText"/>
        <w:spacing w:before="120"/>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This approach is found in the following collection of judgments: </w:t>
      </w:r>
      <w:bookmarkStart w:id="8" w:name="_Hlk207261023"/>
      <w:r w:rsidRPr="00F43E80">
        <w:rPr>
          <w:rFonts w:ascii="Times New Roman" w:hAnsi="Times New Roman" w:cs="Times New Roman"/>
        </w:rPr>
        <w:t>Residents of Joe Slovo Community, Western Cape v Thubelisha Homes 2010 (3) SA 545 (CC); Abahlali BaseMjondolo Movement SA and another v Premier of KwaZulu-Natal and Others 2010 (2) BCLR 99 (CC); City of Johannesburg Municipality v Blue Moonlight Properties 39 (Pty) Ltd and Another 2012 (2) BCLR 150 (CC); Occupiers of Saratoga Avenue v City of Johannesburg Metropolitan Municipality and Another 2012 (9) BCLR 951 (CC); and Occupiers of Skurweplaas v PPC Aggregate Queries 2012 (4) BCLR 382 (CC).</w:t>
      </w:r>
    </w:p>
    <w:bookmarkEnd w:id="8"/>
  </w:footnote>
  <w:footnote w:id="32">
    <w:p w14:paraId="3B38A55F" w14:textId="77777777" w:rsidR="009C0ACF" w:rsidRPr="00F43E80" w:rsidRDefault="009C0ACF" w:rsidP="009C0ACF">
      <w:pPr>
        <w:jc w:val="both"/>
        <w:rPr>
          <w:rFonts w:ascii="Times New Roman" w:hAnsi="Times New Roman" w:cs="Times New Roman"/>
          <w:color w:val="000000" w:themeColor="text1"/>
          <w:sz w:val="20"/>
          <w:szCs w:val="20"/>
        </w:rPr>
      </w:pPr>
      <w:r w:rsidRPr="00F43E80">
        <w:rPr>
          <w:rStyle w:val="FootnoteReference"/>
          <w:rFonts w:ascii="Times New Roman" w:hAnsi="Times New Roman" w:cs="Times New Roman"/>
          <w:sz w:val="20"/>
          <w:szCs w:val="20"/>
        </w:rPr>
        <w:footnoteRef/>
      </w:r>
      <w:r w:rsidRPr="00F43E80">
        <w:rPr>
          <w:rFonts w:ascii="Times New Roman" w:hAnsi="Times New Roman" w:cs="Times New Roman"/>
          <w:sz w:val="20"/>
          <w:szCs w:val="20"/>
        </w:rPr>
        <w:t xml:space="preserve"> </w:t>
      </w:r>
      <w:r w:rsidRPr="00F43E80">
        <w:rPr>
          <w:rFonts w:ascii="Times New Roman" w:hAnsi="Times New Roman" w:cs="Times New Roman"/>
          <w:color w:val="000000" w:themeColor="text1"/>
          <w:sz w:val="20"/>
          <w:szCs w:val="20"/>
        </w:rPr>
        <w:t>This approach can be observed in Charnell Commando (2025).</w:t>
      </w:r>
    </w:p>
  </w:footnote>
  <w:footnote w:id="33">
    <w:p w14:paraId="072D09D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bookmarkStart w:id="9" w:name="_Hlk207261150"/>
      <w:r w:rsidRPr="00F43E80">
        <w:rPr>
          <w:rFonts w:ascii="Times New Roman" w:hAnsi="Times New Roman" w:cs="Times New Roman"/>
        </w:rPr>
        <w:t xml:space="preserve">City of Johannesburg v Rand Properties </w:t>
      </w:r>
      <w:bookmarkEnd w:id="9"/>
      <w:r w:rsidRPr="00F43E80">
        <w:rPr>
          <w:rFonts w:ascii="Times New Roman" w:hAnsi="Times New Roman" w:cs="Times New Roman"/>
        </w:rPr>
        <w:t>(2007) (1) SA 78 (W).</w:t>
      </w:r>
    </w:p>
  </w:footnote>
  <w:footnote w:id="34">
    <w:p w14:paraId="65DEB519"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City of Johannesburg v Rand Properties (2007) (6) SA 417 (SCA).</w:t>
      </w:r>
    </w:p>
  </w:footnote>
  <w:footnote w:id="35">
    <w:p w14:paraId="2BD66AE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5.</w:t>
      </w:r>
    </w:p>
  </w:footnote>
  <w:footnote w:id="36">
    <w:p w14:paraId="5BD1070C"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9.</w:t>
      </w:r>
    </w:p>
  </w:footnote>
  <w:footnote w:id="37">
    <w:p w14:paraId="7D084859"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30.</w:t>
      </w:r>
    </w:p>
  </w:footnote>
  <w:footnote w:id="38">
    <w:p w14:paraId="41CC7B3D"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paras 14, 18 and 21.</w:t>
      </w:r>
    </w:p>
  </w:footnote>
  <w:footnote w:id="39">
    <w:p w14:paraId="5CA0A535"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14.</w:t>
      </w:r>
    </w:p>
  </w:footnote>
  <w:footnote w:id="40">
    <w:p w14:paraId="19EEB820" w14:textId="77777777" w:rsidR="009C0ACF" w:rsidRPr="00F43E80" w:rsidRDefault="009C0ACF" w:rsidP="009C0ACF">
      <w:pPr>
        <w:pStyle w:val="FootnoteText"/>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19.</w:t>
      </w:r>
    </w:p>
  </w:footnote>
  <w:footnote w:id="41">
    <w:p w14:paraId="761A5D3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paras 15 and 20.</w:t>
      </w:r>
    </w:p>
  </w:footnote>
  <w:footnote w:id="42">
    <w:p w14:paraId="6C780783"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19.</w:t>
      </w:r>
    </w:p>
  </w:footnote>
  <w:footnote w:id="43">
    <w:p w14:paraId="53C50D52"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51 Olivia Road (2008) para 23.</w:t>
      </w:r>
    </w:p>
  </w:footnote>
  <w:footnote w:id="44">
    <w:p w14:paraId="499CEFCF"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KwaZulu-Natal Elimination and Prevention of Re-emergence of Slums Act 6 of 2007.</w:t>
      </w:r>
    </w:p>
  </w:footnote>
  <w:footnote w:id="45">
    <w:p w14:paraId="24A8BD0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bookmarkStart w:id="11" w:name="_Hlk207261173"/>
      <w:r w:rsidRPr="00F43E80">
        <w:rPr>
          <w:rFonts w:ascii="Times New Roman" w:hAnsi="Times New Roman" w:cs="Times New Roman"/>
        </w:rPr>
        <w:t xml:space="preserve">Abahlali BaseMjondolo </w:t>
      </w:r>
      <w:bookmarkEnd w:id="11"/>
      <w:r w:rsidRPr="00F43E80">
        <w:rPr>
          <w:rFonts w:ascii="Times New Roman" w:hAnsi="Times New Roman" w:cs="Times New Roman"/>
        </w:rPr>
        <w:t>(2010) para 114.</w:t>
      </w:r>
    </w:p>
  </w:footnote>
  <w:footnote w:id="46">
    <w:p w14:paraId="7869884A"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Abahlali BaseMjondolo (2010) para 114.</w:t>
      </w:r>
    </w:p>
  </w:footnote>
  <w:footnote w:id="47">
    <w:p w14:paraId="039E86A8"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Abahlali BaseMjondolo (2010) para 115.</w:t>
      </w:r>
    </w:p>
  </w:footnote>
  <w:footnote w:id="48">
    <w:p w14:paraId="73A09399" w14:textId="77777777" w:rsidR="009C0ACF" w:rsidRPr="00F43E80" w:rsidRDefault="009C0ACF" w:rsidP="009C0ACF">
      <w:pPr>
        <w:jc w:val="both"/>
        <w:rPr>
          <w:rFonts w:ascii="Times New Roman" w:hAnsi="Times New Roman" w:cs="Times New Roman"/>
          <w:sz w:val="20"/>
          <w:szCs w:val="20"/>
        </w:rPr>
      </w:pPr>
      <w:r w:rsidRPr="00F43E80">
        <w:rPr>
          <w:rStyle w:val="FootnoteReference"/>
          <w:rFonts w:ascii="Times New Roman" w:hAnsi="Times New Roman" w:cs="Times New Roman"/>
          <w:sz w:val="20"/>
          <w:szCs w:val="20"/>
        </w:rPr>
        <w:footnoteRef/>
      </w:r>
      <w:r w:rsidRPr="00F43E80">
        <w:rPr>
          <w:rFonts w:ascii="Times New Roman" w:hAnsi="Times New Roman" w:cs="Times New Roman"/>
          <w:sz w:val="20"/>
          <w:szCs w:val="20"/>
        </w:rPr>
        <w:t xml:space="preserve"> Roux T The politics of principle: The first South African Constitutional Court, 1995-2005 Cambridge: Cambridge University Press (2013) at 73-74.</w:t>
      </w:r>
    </w:p>
  </w:footnote>
  <w:footnote w:id="49">
    <w:p w14:paraId="724B5A1A"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bookmarkStart w:id="12" w:name="_Hlk207261202"/>
      <w:r w:rsidRPr="00F43E80">
        <w:rPr>
          <w:rFonts w:ascii="Times New Roman" w:hAnsi="Times New Roman" w:cs="Times New Roman"/>
        </w:rPr>
        <w:t>Residents of Joe Slovo Community, Western Cape v Thubelisha Homes and Others 2010 (3) SA 545 (CC).</w:t>
      </w:r>
      <w:bookmarkEnd w:id="12"/>
    </w:p>
  </w:footnote>
  <w:footnote w:id="50">
    <w:p w14:paraId="4FCC8BA9"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19.</w:t>
      </w:r>
    </w:p>
  </w:footnote>
  <w:footnote w:id="51">
    <w:p w14:paraId="7516A1B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w:t>
      </w:r>
    </w:p>
  </w:footnote>
  <w:footnote w:id="52">
    <w:p w14:paraId="0047DD9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112.</w:t>
      </w:r>
    </w:p>
  </w:footnote>
  <w:footnote w:id="53">
    <w:p w14:paraId="600C2B70"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116.</w:t>
      </w:r>
    </w:p>
  </w:footnote>
  <w:footnote w:id="54">
    <w:p w14:paraId="4DEB5C21"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paras 159-161.</w:t>
      </w:r>
    </w:p>
  </w:footnote>
  <w:footnote w:id="55">
    <w:p w14:paraId="593A2A30"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161.</w:t>
      </w:r>
    </w:p>
  </w:footnote>
  <w:footnote w:id="56">
    <w:p w14:paraId="2771693A"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173.</w:t>
      </w:r>
    </w:p>
  </w:footnote>
  <w:footnote w:id="57">
    <w:p w14:paraId="44DE9E3A"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para (2010) 172-174.</w:t>
      </w:r>
    </w:p>
  </w:footnote>
  <w:footnote w:id="58">
    <w:p w14:paraId="2B68EDD7"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242.</w:t>
      </w:r>
    </w:p>
  </w:footnote>
  <w:footnote w:id="59">
    <w:p w14:paraId="7379119E"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paras 245-246.</w:t>
      </w:r>
    </w:p>
  </w:footnote>
  <w:footnote w:id="60">
    <w:p w14:paraId="06A5C34D"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246.</w:t>
      </w:r>
    </w:p>
  </w:footnote>
  <w:footnote w:id="61">
    <w:p w14:paraId="20421FD7"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258.</w:t>
      </w:r>
    </w:p>
  </w:footnote>
  <w:footnote w:id="62">
    <w:p w14:paraId="23CC3DCB"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paras 258-259.</w:t>
      </w:r>
    </w:p>
  </w:footnote>
  <w:footnote w:id="63">
    <w:p w14:paraId="6D6B618C"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301.</w:t>
      </w:r>
    </w:p>
  </w:footnote>
  <w:footnote w:id="64">
    <w:p w14:paraId="4B8A18AB"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302.</w:t>
      </w:r>
    </w:p>
  </w:footnote>
  <w:footnote w:id="65">
    <w:p w14:paraId="0BE125AD"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302.</w:t>
      </w:r>
    </w:p>
  </w:footnote>
  <w:footnote w:id="66">
    <w:p w14:paraId="576F113F"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302.</w:t>
      </w:r>
    </w:p>
  </w:footnote>
  <w:footnote w:id="67">
    <w:p w14:paraId="5AF58EF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303.</w:t>
      </w:r>
    </w:p>
  </w:footnote>
  <w:footnote w:id="68">
    <w:p w14:paraId="197A0427"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378.</w:t>
      </w:r>
    </w:p>
  </w:footnote>
  <w:footnote w:id="69">
    <w:p w14:paraId="78FE1A0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378.</w:t>
      </w:r>
    </w:p>
  </w:footnote>
  <w:footnote w:id="70">
    <w:p w14:paraId="47390117"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379.</w:t>
      </w:r>
    </w:p>
  </w:footnote>
  <w:footnote w:id="71">
    <w:p w14:paraId="70EBB016"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Residents of Joe Slovo (2010) para 380.</w:t>
      </w:r>
    </w:p>
  </w:footnote>
  <w:footnote w:id="72">
    <w:p w14:paraId="1CCF28F1"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bookmarkStart w:id="13" w:name="_Hlk207261231"/>
      <w:r w:rsidRPr="00F43E80">
        <w:rPr>
          <w:rFonts w:ascii="Times New Roman" w:hAnsi="Times New Roman" w:cs="Times New Roman"/>
        </w:rPr>
        <w:t>Occupiers of Skurweplaas v PPC Aggregate Quarries (Pty) Ltd and Others 2012 (4) BCLR 382 (CC).</w:t>
      </w:r>
      <w:bookmarkEnd w:id="13"/>
    </w:p>
  </w:footnote>
  <w:footnote w:id="73">
    <w:p w14:paraId="52625D39"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Skurweplaas (2012) para 7.</w:t>
      </w:r>
    </w:p>
  </w:footnote>
  <w:footnote w:id="74">
    <w:p w14:paraId="229F2BFA"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Skurweplaas (2012) para 3.</w:t>
      </w:r>
    </w:p>
  </w:footnote>
  <w:footnote w:id="75">
    <w:p w14:paraId="4F66C83F"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w:t>
      </w:r>
      <w:bookmarkStart w:id="14" w:name="_Hlk207261242"/>
      <w:r w:rsidRPr="00F43E80">
        <w:rPr>
          <w:rFonts w:ascii="Times New Roman" w:hAnsi="Times New Roman" w:cs="Times New Roman"/>
        </w:rPr>
        <w:t>Occupiers of Saratoga Avenue v City of Johannesburg Metropolitan Municipality and Another 2012 (9) BCLR 951 (CC).</w:t>
      </w:r>
    </w:p>
    <w:bookmarkEnd w:id="14"/>
  </w:footnote>
  <w:footnote w:id="76">
    <w:p w14:paraId="351CFC18"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Saratoga Avenue (2012) para 7.</w:t>
      </w:r>
    </w:p>
  </w:footnote>
  <w:footnote w:id="77">
    <w:p w14:paraId="33FFEB14" w14:textId="77777777" w:rsidR="009C0ACF" w:rsidRPr="00F43E80" w:rsidRDefault="009C0ACF" w:rsidP="009C0ACF">
      <w:pPr>
        <w:pStyle w:val="FootnoteText"/>
        <w:jc w:val="both"/>
        <w:rPr>
          <w:rFonts w:ascii="Times New Roman" w:hAnsi="Times New Roman" w:cs="Times New Roman"/>
        </w:rPr>
      </w:pPr>
      <w:r w:rsidRPr="00F43E80">
        <w:rPr>
          <w:rStyle w:val="FootnoteReference"/>
          <w:rFonts w:ascii="Times New Roman" w:hAnsi="Times New Roman" w:cs="Times New Roman"/>
        </w:rPr>
        <w:footnoteRef/>
      </w:r>
      <w:r w:rsidRPr="00F43E80">
        <w:rPr>
          <w:rFonts w:ascii="Times New Roman" w:hAnsi="Times New Roman" w:cs="Times New Roman"/>
        </w:rPr>
        <w:t xml:space="preserve"> Occupiers of Saratoga Avenue (2012) para 17.</w:t>
      </w:r>
    </w:p>
  </w:footnote>
  <w:footnote w:id="78">
    <w:p w14:paraId="7BEA273E"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paras 32-34.</w:t>
      </w:r>
    </w:p>
  </w:footnote>
  <w:footnote w:id="79">
    <w:p w14:paraId="60F07294"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36.</w:t>
      </w:r>
    </w:p>
  </w:footnote>
  <w:footnote w:id="80">
    <w:p w14:paraId="036877C1"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40.</w:t>
      </w:r>
    </w:p>
  </w:footnote>
  <w:footnote w:id="81">
    <w:p w14:paraId="59C6CE60"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40-41.</w:t>
      </w:r>
    </w:p>
  </w:footnote>
  <w:footnote w:id="82">
    <w:p w14:paraId="3AE8199C"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51.</w:t>
      </w:r>
    </w:p>
  </w:footnote>
  <w:footnote w:id="83">
    <w:p w14:paraId="752B3C40"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71.</w:t>
      </w:r>
    </w:p>
  </w:footnote>
  <w:footnote w:id="84">
    <w:p w14:paraId="16B36780"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81.</w:t>
      </w:r>
    </w:p>
  </w:footnote>
  <w:footnote w:id="85">
    <w:p w14:paraId="7B9663E7"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108.</w:t>
      </w:r>
    </w:p>
  </w:footnote>
  <w:footnote w:id="86">
    <w:p w14:paraId="53837CEB"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45.</w:t>
      </w:r>
    </w:p>
  </w:footnote>
  <w:footnote w:id="87">
    <w:p w14:paraId="765C21B4"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67.</w:t>
      </w:r>
    </w:p>
  </w:footnote>
  <w:footnote w:id="88">
    <w:p w14:paraId="4785EA88"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32.</w:t>
      </w:r>
    </w:p>
  </w:footnote>
  <w:footnote w:id="89">
    <w:p w14:paraId="77832BDC" w14:textId="77777777" w:rsidR="009C0ACF" w:rsidRPr="00A07A94" w:rsidRDefault="009C0ACF" w:rsidP="009C0ACF">
      <w:pPr>
        <w:pStyle w:val="FootnoteText"/>
        <w:rPr>
          <w:rFonts w:ascii="Times New Roman" w:hAnsi="Times New Roman" w:cs="Times New Roman"/>
          <w:lang w:val="pt-BR"/>
        </w:rPr>
      </w:pPr>
      <w:r w:rsidRPr="00F43E80">
        <w:rPr>
          <w:rStyle w:val="FootnoteReference"/>
          <w:rFonts w:ascii="Times New Roman" w:hAnsi="Times New Roman" w:cs="Times New Roman"/>
        </w:rPr>
        <w:footnoteRef/>
      </w:r>
      <w:r w:rsidRPr="00A07A94">
        <w:rPr>
          <w:rFonts w:ascii="Times New Roman" w:hAnsi="Times New Roman" w:cs="Times New Roman"/>
          <w:lang w:val="pt-BR"/>
        </w:rPr>
        <w:t xml:space="preserve"> Charnell Commando (2025) para 54.</w:t>
      </w:r>
    </w:p>
  </w:footnote>
  <w:footnote w:id="90">
    <w:p w14:paraId="7E36898F" w14:textId="77777777" w:rsidR="009C0ACF" w:rsidRPr="00F43E80" w:rsidRDefault="009C0ACF" w:rsidP="009C0ACF">
      <w:pPr>
        <w:pStyle w:val="FootnoteText"/>
        <w:rPr>
          <w:rFonts w:ascii="Times New Roman" w:hAnsi="Times New Roman" w:cs="Times New Roman"/>
          <w:lang w:val="en-US"/>
        </w:rPr>
      </w:pPr>
      <w:r w:rsidRPr="00F43E80">
        <w:rPr>
          <w:rStyle w:val="FootnoteReference"/>
          <w:rFonts w:ascii="Times New Roman" w:hAnsi="Times New Roman" w:cs="Times New Roman"/>
        </w:rPr>
        <w:footnoteRef/>
      </w:r>
      <w:r w:rsidRPr="00F43E80">
        <w:rPr>
          <w:rFonts w:ascii="Times New Roman" w:hAnsi="Times New Roman" w:cs="Times New Roman"/>
        </w:rPr>
        <w:t xml:space="preserve"> Charnell Commando (2025) para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51C8" w14:textId="77777777" w:rsidR="00175BDB" w:rsidRDefault="00175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7BF2" w14:textId="44F3D65D" w:rsidR="007A64AE" w:rsidRPr="00D671E5" w:rsidRDefault="007A64AE" w:rsidP="00A07A94">
    <w:pPr>
      <w:tabs>
        <w:tab w:val="center" w:pos="5047"/>
        <w:tab w:val="center" w:pos="9137"/>
      </w:tabs>
      <w:ind w:left="-622"/>
      <w:rPr>
        <w:rFonts w:ascii="Times New Roman" w:hAnsi="Times New Roman" w:cs="Times New Roman"/>
      </w:rPr>
    </w:pPr>
    <w:r w:rsidRPr="00D671E5">
      <w:rPr>
        <w:rFonts w:ascii="Times New Roman" w:hAnsi="Times New Roman" w:cs="Times New Roman"/>
        <w:noProof/>
      </w:rPr>
      <w:drawing>
        <wp:anchor distT="0" distB="0" distL="114300" distR="114300" simplePos="0" relativeHeight="251659264" behindDoc="0" locked="0" layoutInCell="1" allowOverlap="0" wp14:anchorId="458DDFFE" wp14:editId="6ED6F2A8">
          <wp:simplePos x="0" y="0"/>
          <wp:positionH relativeFrom="page">
            <wp:posOffset>460375</wp:posOffset>
          </wp:positionH>
          <wp:positionV relativeFrom="topMargin">
            <wp:posOffset>313055</wp:posOffset>
          </wp:positionV>
          <wp:extent cx="1134085" cy="311620"/>
          <wp:effectExtent l="0" t="0" r="0" b="0"/>
          <wp:wrapSquare wrapText="bothSides"/>
          <wp:docPr id="1497102492" name="Picture 1497102492"/>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a:fillRect/>
                  </a:stretch>
                </pic:blipFill>
                <pic:spPr>
                  <a:xfrm>
                    <a:off x="0" y="0"/>
                    <a:ext cx="1134085" cy="311620"/>
                  </a:xfrm>
                  <a:prstGeom prst="rect">
                    <a:avLst/>
                  </a:prstGeom>
                </pic:spPr>
              </pic:pic>
            </a:graphicData>
          </a:graphic>
        </wp:anchor>
      </w:drawing>
    </w:r>
    <w:r w:rsidRPr="00D671E5">
      <w:rPr>
        <w:rFonts w:ascii="Times New Roman" w:eastAsia="Calibri" w:hAnsi="Times New Roman" w:cs="Times New Roman"/>
        <w:sz w:val="20"/>
      </w:rPr>
      <w:tab/>
      <w:t xml:space="preserve">IJRDO - Journal of </w:t>
    </w:r>
    <w:r w:rsidRPr="006A1A94">
      <w:rPr>
        <w:rFonts w:ascii="Times New Roman" w:eastAsia="Palatino Linotype" w:hAnsi="Times New Roman" w:cs="Times New Roman"/>
        <w:sz w:val="20"/>
        <w:szCs w:val="20"/>
        <w:lang w:bidi="en-US"/>
      </w:rPr>
      <w:t>Social Science and Humanities Research</w:t>
    </w:r>
    <w:r w:rsidRPr="006A1A94">
      <w:rPr>
        <w:rFonts w:ascii="Times New Roman" w:eastAsia="Calibri" w:hAnsi="Times New Roman" w:cs="Times New Roman"/>
        <w:sz w:val="20"/>
        <w:szCs w:val="20"/>
      </w:rPr>
      <w:tab/>
    </w:r>
    <w:r w:rsidRPr="00D671E5">
      <w:rPr>
        <w:rFonts w:ascii="Times New Roman" w:eastAsia="Calibri" w:hAnsi="Times New Roman" w:cs="Times New Roman"/>
        <w:sz w:val="20"/>
      </w:rPr>
      <w:t xml:space="preserve">ISSN: </w:t>
    </w:r>
    <w:r w:rsidR="00A07A94" w:rsidRPr="00A07A94">
      <w:rPr>
        <w:rFonts w:ascii="Times New Roman" w:eastAsia="Calibri" w:hAnsi="Times New Roman" w:cs="Times New Roman"/>
        <w:sz w:val="20"/>
      </w:rPr>
      <w:t>2456-2971</w:t>
    </w:r>
  </w:p>
  <w:p w14:paraId="400CC928" w14:textId="77777777" w:rsidR="007A64AE" w:rsidRPr="00D671E5" w:rsidRDefault="007A64AE" w:rsidP="007A64AE">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E23A" w14:textId="77777777" w:rsidR="00175BDB" w:rsidRDefault="00175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E85"/>
    <w:multiLevelType w:val="hybridMultilevel"/>
    <w:tmpl w:val="5CC6705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 w15:restartNumberingAfterBreak="0">
    <w:nsid w:val="02912002"/>
    <w:multiLevelType w:val="hybridMultilevel"/>
    <w:tmpl w:val="5E8C7ED8"/>
    <w:lvl w:ilvl="0" w:tplc="6C2E8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B3A01"/>
    <w:multiLevelType w:val="hybridMultilevel"/>
    <w:tmpl w:val="DBD4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6162F"/>
    <w:multiLevelType w:val="hybridMultilevel"/>
    <w:tmpl w:val="5FF48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E6D92"/>
    <w:multiLevelType w:val="hybridMultilevel"/>
    <w:tmpl w:val="B4E89A0C"/>
    <w:lvl w:ilvl="0" w:tplc="4416546C">
      <w:start w:val="1"/>
      <w:numFmt w:val="bullet"/>
      <w:lvlText w:val="•"/>
      <w:lvlJc w:val="left"/>
      <w:pPr>
        <w:tabs>
          <w:tab w:val="num" w:pos="720"/>
        </w:tabs>
        <w:ind w:left="720" w:hanging="360"/>
      </w:pPr>
      <w:rPr>
        <w:rFonts w:ascii="Times" w:hAnsi="Times" w:hint="default"/>
      </w:rPr>
    </w:lvl>
    <w:lvl w:ilvl="1" w:tplc="4642D19E" w:tentative="1">
      <w:start w:val="1"/>
      <w:numFmt w:val="bullet"/>
      <w:lvlText w:val="•"/>
      <w:lvlJc w:val="left"/>
      <w:pPr>
        <w:tabs>
          <w:tab w:val="num" w:pos="1440"/>
        </w:tabs>
        <w:ind w:left="1440" w:hanging="360"/>
      </w:pPr>
      <w:rPr>
        <w:rFonts w:ascii="Times" w:hAnsi="Times" w:hint="default"/>
      </w:rPr>
    </w:lvl>
    <w:lvl w:ilvl="2" w:tplc="37B22A4A" w:tentative="1">
      <w:start w:val="1"/>
      <w:numFmt w:val="bullet"/>
      <w:lvlText w:val="•"/>
      <w:lvlJc w:val="left"/>
      <w:pPr>
        <w:tabs>
          <w:tab w:val="num" w:pos="2160"/>
        </w:tabs>
        <w:ind w:left="2160" w:hanging="360"/>
      </w:pPr>
      <w:rPr>
        <w:rFonts w:ascii="Times" w:hAnsi="Times" w:hint="default"/>
      </w:rPr>
    </w:lvl>
    <w:lvl w:ilvl="3" w:tplc="A964EF3C" w:tentative="1">
      <w:start w:val="1"/>
      <w:numFmt w:val="bullet"/>
      <w:lvlText w:val="•"/>
      <w:lvlJc w:val="left"/>
      <w:pPr>
        <w:tabs>
          <w:tab w:val="num" w:pos="2880"/>
        </w:tabs>
        <w:ind w:left="2880" w:hanging="360"/>
      </w:pPr>
      <w:rPr>
        <w:rFonts w:ascii="Times" w:hAnsi="Times" w:hint="default"/>
      </w:rPr>
    </w:lvl>
    <w:lvl w:ilvl="4" w:tplc="855A680C" w:tentative="1">
      <w:start w:val="1"/>
      <w:numFmt w:val="bullet"/>
      <w:lvlText w:val="•"/>
      <w:lvlJc w:val="left"/>
      <w:pPr>
        <w:tabs>
          <w:tab w:val="num" w:pos="3600"/>
        </w:tabs>
        <w:ind w:left="3600" w:hanging="360"/>
      </w:pPr>
      <w:rPr>
        <w:rFonts w:ascii="Times" w:hAnsi="Times" w:hint="default"/>
      </w:rPr>
    </w:lvl>
    <w:lvl w:ilvl="5" w:tplc="18F24ED0" w:tentative="1">
      <w:start w:val="1"/>
      <w:numFmt w:val="bullet"/>
      <w:lvlText w:val="•"/>
      <w:lvlJc w:val="left"/>
      <w:pPr>
        <w:tabs>
          <w:tab w:val="num" w:pos="4320"/>
        </w:tabs>
        <w:ind w:left="4320" w:hanging="360"/>
      </w:pPr>
      <w:rPr>
        <w:rFonts w:ascii="Times" w:hAnsi="Times" w:hint="default"/>
      </w:rPr>
    </w:lvl>
    <w:lvl w:ilvl="6" w:tplc="F082596A" w:tentative="1">
      <w:start w:val="1"/>
      <w:numFmt w:val="bullet"/>
      <w:lvlText w:val="•"/>
      <w:lvlJc w:val="left"/>
      <w:pPr>
        <w:tabs>
          <w:tab w:val="num" w:pos="5040"/>
        </w:tabs>
        <w:ind w:left="5040" w:hanging="360"/>
      </w:pPr>
      <w:rPr>
        <w:rFonts w:ascii="Times" w:hAnsi="Times" w:hint="default"/>
      </w:rPr>
    </w:lvl>
    <w:lvl w:ilvl="7" w:tplc="8FB69B18" w:tentative="1">
      <w:start w:val="1"/>
      <w:numFmt w:val="bullet"/>
      <w:lvlText w:val="•"/>
      <w:lvlJc w:val="left"/>
      <w:pPr>
        <w:tabs>
          <w:tab w:val="num" w:pos="5760"/>
        </w:tabs>
        <w:ind w:left="5760" w:hanging="360"/>
      </w:pPr>
      <w:rPr>
        <w:rFonts w:ascii="Times" w:hAnsi="Times" w:hint="default"/>
      </w:rPr>
    </w:lvl>
    <w:lvl w:ilvl="8" w:tplc="7686532E"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0AAB6E0B"/>
    <w:multiLevelType w:val="hybridMultilevel"/>
    <w:tmpl w:val="C02E4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E4EB1"/>
    <w:multiLevelType w:val="hybridMultilevel"/>
    <w:tmpl w:val="35F4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D6BE2"/>
    <w:multiLevelType w:val="hybridMultilevel"/>
    <w:tmpl w:val="78C6BAE8"/>
    <w:lvl w:ilvl="0" w:tplc="CC321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C50DA5"/>
    <w:multiLevelType w:val="hybridMultilevel"/>
    <w:tmpl w:val="3168D9C8"/>
    <w:lvl w:ilvl="0" w:tplc="74881A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ED1FB9"/>
    <w:multiLevelType w:val="hybridMultilevel"/>
    <w:tmpl w:val="6C625B9A"/>
    <w:lvl w:ilvl="0" w:tplc="9E5A6B74">
      <w:start w:val="1"/>
      <w:numFmt w:val="bullet"/>
      <w:lvlText w:val=""/>
      <w:lvlJc w:val="left"/>
      <w:pPr>
        <w:ind w:left="720" w:hanging="360"/>
      </w:pPr>
      <w:rPr>
        <w:rFonts w:ascii="Symbol" w:hAnsi="Symbol"/>
      </w:rPr>
    </w:lvl>
    <w:lvl w:ilvl="1" w:tplc="C00AC7CC">
      <w:start w:val="1"/>
      <w:numFmt w:val="bullet"/>
      <w:lvlText w:val=""/>
      <w:lvlJc w:val="left"/>
      <w:pPr>
        <w:ind w:left="720" w:hanging="360"/>
      </w:pPr>
      <w:rPr>
        <w:rFonts w:ascii="Symbol" w:hAnsi="Symbol"/>
      </w:rPr>
    </w:lvl>
    <w:lvl w:ilvl="2" w:tplc="6EB0B82A">
      <w:start w:val="1"/>
      <w:numFmt w:val="bullet"/>
      <w:lvlText w:val=""/>
      <w:lvlJc w:val="left"/>
      <w:pPr>
        <w:ind w:left="720" w:hanging="360"/>
      </w:pPr>
      <w:rPr>
        <w:rFonts w:ascii="Symbol" w:hAnsi="Symbol"/>
      </w:rPr>
    </w:lvl>
    <w:lvl w:ilvl="3" w:tplc="A18C0970">
      <w:start w:val="1"/>
      <w:numFmt w:val="bullet"/>
      <w:lvlText w:val=""/>
      <w:lvlJc w:val="left"/>
      <w:pPr>
        <w:ind w:left="720" w:hanging="360"/>
      </w:pPr>
      <w:rPr>
        <w:rFonts w:ascii="Symbol" w:hAnsi="Symbol"/>
      </w:rPr>
    </w:lvl>
    <w:lvl w:ilvl="4" w:tplc="4C18C0E0">
      <w:start w:val="1"/>
      <w:numFmt w:val="bullet"/>
      <w:lvlText w:val=""/>
      <w:lvlJc w:val="left"/>
      <w:pPr>
        <w:ind w:left="720" w:hanging="360"/>
      </w:pPr>
      <w:rPr>
        <w:rFonts w:ascii="Symbol" w:hAnsi="Symbol"/>
      </w:rPr>
    </w:lvl>
    <w:lvl w:ilvl="5" w:tplc="F63E4A9C">
      <w:start w:val="1"/>
      <w:numFmt w:val="bullet"/>
      <w:lvlText w:val=""/>
      <w:lvlJc w:val="left"/>
      <w:pPr>
        <w:ind w:left="720" w:hanging="360"/>
      </w:pPr>
      <w:rPr>
        <w:rFonts w:ascii="Symbol" w:hAnsi="Symbol"/>
      </w:rPr>
    </w:lvl>
    <w:lvl w:ilvl="6" w:tplc="DA5A5E6C">
      <w:start w:val="1"/>
      <w:numFmt w:val="bullet"/>
      <w:lvlText w:val=""/>
      <w:lvlJc w:val="left"/>
      <w:pPr>
        <w:ind w:left="720" w:hanging="360"/>
      </w:pPr>
      <w:rPr>
        <w:rFonts w:ascii="Symbol" w:hAnsi="Symbol"/>
      </w:rPr>
    </w:lvl>
    <w:lvl w:ilvl="7" w:tplc="E706978E">
      <w:start w:val="1"/>
      <w:numFmt w:val="bullet"/>
      <w:lvlText w:val=""/>
      <w:lvlJc w:val="left"/>
      <w:pPr>
        <w:ind w:left="720" w:hanging="360"/>
      </w:pPr>
      <w:rPr>
        <w:rFonts w:ascii="Symbol" w:hAnsi="Symbol"/>
      </w:rPr>
    </w:lvl>
    <w:lvl w:ilvl="8" w:tplc="D260332E">
      <w:start w:val="1"/>
      <w:numFmt w:val="bullet"/>
      <w:lvlText w:val=""/>
      <w:lvlJc w:val="left"/>
      <w:pPr>
        <w:ind w:left="720" w:hanging="360"/>
      </w:pPr>
      <w:rPr>
        <w:rFonts w:ascii="Symbol" w:hAnsi="Symbol"/>
      </w:rPr>
    </w:lvl>
  </w:abstractNum>
  <w:abstractNum w:abstractNumId="10" w15:restartNumberingAfterBreak="0">
    <w:nsid w:val="183024C4"/>
    <w:multiLevelType w:val="hybridMultilevel"/>
    <w:tmpl w:val="5798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11726"/>
    <w:multiLevelType w:val="hybridMultilevel"/>
    <w:tmpl w:val="722C9234"/>
    <w:lvl w:ilvl="0" w:tplc="4DAAF5E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E5C65A8"/>
    <w:multiLevelType w:val="hybridMultilevel"/>
    <w:tmpl w:val="009E0172"/>
    <w:lvl w:ilvl="0" w:tplc="F6ACBB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B3B96"/>
    <w:multiLevelType w:val="hybridMultilevel"/>
    <w:tmpl w:val="3DA07066"/>
    <w:lvl w:ilvl="0" w:tplc="1C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9C25E2"/>
    <w:multiLevelType w:val="hybridMultilevel"/>
    <w:tmpl w:val="EE642230"/>
    <w:lvl w:ilvl="0" w:tplc="1C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15:restartNumberingAfterBreak="0">
    <w:nsid w:val="228B6CE8"/>
    <w:multiLevelType w:val="hybridMultilevel"/>
    <w:tmpl w:val="97D086E8"/>
    <w:lvl w:ilvl="0" w:tplc="FA2637B6">
      <w:start w:val="1"/>
      <w:numFmt w:val="bullet"/>
      <w:lvlText w:val="•"/>
      <w:lvlJc w:val="left"/>
      <w:pPr>
        <w:tabs>
          <w:tab w:val="num" w:pos="720"/>
        </w:tabs>
        <w:ind w:left="720" w:hanging="360"/>
      </w:pPr>
      <w:rPr>
        <w:rFonts w:ascii="Times" w:hAnsi="Times" w:hint="default"/>
      </w:rPr>
    </w:lvl>
    <w:lvl w:ilvl="1" w:tplc="CEBA6D78" w:tentative="1">
      <w:start w:val="1"/>
      <w:numFmt w:val="bullet"/>
      <w:lvlText w:val="•"/>
      <w:lvlJc w:val="left"/>
      <w:pPr>
        <w:tabs>
          <w:tab w:val="num" w:pos="1440"/>
        </w:tabs>
        <w:ind w:left="1440" w:hanging="360"/>
      </w:pPr>
      <w:rPr>
        <w:rFonts w:ascii="Times" w:hAnsi="Times" w:hint="default"/>
      </w:rPr>
    </w:lvl>
    <w:lvl w:ilvl="2" w:tplc="1CBCD7BE" w:tentative="1">
      <w:start w:val="1"/>
      <w:numFmt w:val="bullet"/>
      <w:lvlText w:val="•"/>
      <w:lvlJc w:val="left"/>
      <w:pPr>
        <w:tabs>
          <w:tab w:val="num" w:pos="2160"/>
        </w:tabs>
        <w:ind w:left="2160" w:hanging="360"/>
      </w:pPr>
      <w:rPr>
        <w:rFonts w:ascii="Times" w:hAnsi="Times" w:hint="default"/>
      </w:rPr>
    </w:lvl>
    <w:lvl w:ilvl="3" w:tplc="2CCA9432" w:tentative="1">
      <w:start w:val="1"/>
      <w:numFmt w:val="bullet"/>
      <w:lvlText w:val="•"/>
      <w:lvlJc w:val="left"/>
      <w:pPr>
        <w:tabs>
          <w:tab w:val="num" w:pos="2880"/>
        </w:tabs>
        <w:ind w:left="2880" w:hanging="360"/>
      </w:pPr>
      <w:rPr>
        <w:rFonts w:ascii="Times" w:hAnsi="Times" w:hint="default"/>
      </w:rPr>
    </w:lvl>
    <w:lvl w:ilvl="4" w:tplc="CE5E66C4" w:tentative="1">
      <w:start w:val="1"/>
      <w:numFmt w:val="bullet"/>
      <w:lvlText w:val="•"/>
      <w:lvlJc w:val="left"/>
      <w:pPr>
        <w:tabs>
          <w:tab w:val="num" w:pos="3600"/>
        </w:tabs>
        <w:ind w:left="3600" w:hanging="360"/>
      </w:pPr>
      <w:rPr>
        <w:rFonts w:ascii="Times" w:hAnsi="Times" w:hint="default"/>
      </w:rPr>
    </w:lvl>
    <w:lvl w:ilvl="5" w:tplc="DD00E596" w:tentative="1">
      <w:start w:val="1"/>
      <w:numFmt w:val="bullet"/>
      <w:lvlText w:val="•"/>
      <w:lvlJc w:val="left"/>
      <w:pPr>
        <w:tabs>
          <w:tab w:val="num" w:pos="4320"/>
        </w:tabs>
        <w:ind w:left="4320" w:hanging="360"/>
      </w:pPr>
      <w:rPr>
        <w:rFonts w:ascii="Times" w:hAnsi="Times" w:hint="default"/>
      </w:rPr>
    </w:lvl>
    <w:lvl w:ilvl="6" w:tplc="515CCBD2" w:tentative="1">
      <w:start w:val="1"/>
      <w:numFmt w:val="bullet"/>
      <w:lvlText w:val="•"/>
      <w:lvlJc w:val="left"/>
      <w:pPr>
        <w:tabs>
          <w:tab w:val="num" w:pos="5040"/>
        </w:tabs>
        <w:ind w:left="5040" w:hanging="360"/>
      </w:pPr>
      <w:rPr>
        <w:rFonts w:ascii="Times" w:hAnsi="Times" w:hint="default"/>
      </w:rPr>
    </w:lvl>
    <w:lvl w:ilvl="7" w:tplc="EA7428D2" w:tentative="1">
      <w:start w:val="1"/>
      <w:numFmt w:val="bullet"/>
      <w:lvlText w:val="•"/>
      <w:lvlJc w:val="left"/>
      <w:pPr>
        <w:tabs>
          <w:tab w:val="num" w:pos="5760"/>
        </w:tabs>
        <w:ind w:left="5760" w:hanging="360"/>
      </w:pPr>
      <w:rPr>
        <w:rFonts w:ascii="Times" w:hAnsi="Times" w:hint="default"/>
      </w:rPr>
    </w:lvl>
    <w:lvl w:ilvl="8" w:tplc="86BEA17A"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FE1890"/>
    <w:multiLevelType w:val="hybridMultilevel"/>
    <w:tmpl w:val="E862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31297E"/>
    <w:multiLevelType w:val="hybridMultilevel"/>
    <w:tmpl w:val="F65CE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53B091A"/>
    <w:multiLevelType w:val="multilevel"/>
    <w:tmpl w:val="938C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479B6"/>
    <w:multiLevelType w:val="hybridMultilevel"/>
    <w:tmpl w:val="22CA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F25B0"/>
    <w:multiLevelType w:val="hybridMultilevel"/>
    <w:tmpl w:val="787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985D76"/>
    <w:multiLevelType w:val="multilevel"/>
    <w:tmpl w:val="FF4CBE42"/>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BB443DF"/>
    <w:multiLevelType w:val="hybridMultilevel"/>
    <w:tmpl w:val="190406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2D597265"/>
    <w:multiLevelType w:val="hybridMultilevel"/>
    <w:tmpl w:val="A5C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B3FD4"/>
    <w:multiLevelType w:val="hybridMultilevel"/>
    <w:tmpl w:val="F382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5475E"/>
    <w:multiLevelType w:val="hybridMultilevel"/>
    <w:tmpl w:val="99224FB8"/>
    <w:lvl w:ilvl="0" w:tplc="B692A472">
      <w:start w:val="1"/>
      <w:numFmt w:val="lowerLetter"/>
      <w:lvlText w:val="%1)"/>
      <w:lvlJc w:val="left"/>
      <w:pPr>
        <w:ind w:left="720" w:hanging="360"/>
      </w:pPr>
      <w:rPr>
        <w:rFonts w:ascii="Arial Narrow" w:eastAsia="MS Mincho" w:hAnsi="Arial Narrow"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D4385B"/>
    <w:multiLevelType w:val="hybridMultilevel"/>
    <w:tmpl w:val="77AA24AE"/>
    <w:lvl w:ilvl="0" w:tplc="36F4C1C0">
      <w:start w:val="1"/>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11C3874"/>
    <w:multiLevelType w:val="hybridMultilevel"/>
    <w:tmpl w:val="27B21AC2"/>
    <w:lvl w:ilvl="0" w:tplc="D70C709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1594E2F"/>
    <w:multiLevelType w:val="hybridMultilevel"/>
    <w:tmpl w:val="57B095E8"/>
    <w:lvl w:ilvl="0" w:tplc="51D8663A">
      <w:start w:val="1"/>
      <w:numFmt w:val="bullet"/>
      <w:lvlText w:val="•"/>
      <w:lvlJc w:val="left"/>
      <w:pPr>
        <w:tabs>
          <w:tab w:val="num" w:pos="720"/>
        </w:tabs>
        <w:ind w:left="720" w:hanging="360"/>
      </w:pPr>
      <w:rPr>
        <w:rFonts w:ascii="Times" w:hAnsi="Times" w:hint="default"/>
      </w:rPr>
    </w:lvl>
    <w:lvl w:ilvl="1" w:tplc="59AECE80" w:tentative="1">
      <w:start w:val="1"/>
      <w:numFmt w:val="bullet"/>
      <w:lvlText w:val="•"/>
      <w:lvlJc w:val="left"/>
      <w:pPr>
        <w:tabs>
          <w:tab w:val="num" w:pos="1440"/>
        </w:tabs>
        <w:ind w:left="1440" w:hanging="360"/>
      </w:pPr>
      <w:rPr>
        <w:rFonts w:ascii="Times" w:hAnsi="Times" w:hint="default"/>
      </w:rPr>
    </w:lvl>
    <w:lvl w:ilvl="2" w:tplc="98800134" w:tentative="1">
      <w:start w:val="1"/>
      <w:numFmt w:val="bullet"/>
      <w:lvlText w:val="•"/>
      <w:lvlJc w:val="left"/>
      <w:pPr>
        <w:tabs>
          <w:tab w:val="num" w:pos="2160"/>
        </w:tabs>
        <w:ind w:left="2160" w:hanging="360"/>
      </w:pPr>
      <w:rPr>
        <w:rFonts w:ascii="Times" w:hAnsi="Times" w:hint="default"/>
      </w:rPr>
    </w:lvl>
    <w:lvl w:ilvl="3" w:tplc="A9B61C1E" w:tentative="1">
      <w:start w:val="1"/>
      <w:numFmt w:val="bullet"/>
      <w:lvlText w:val="•"/>
      <w:lvlJc w:val="left"/>
      <w:pPr>
        <w:tabs>
          <w:tab w:val="num" w:pos="2880"/>
        </w:tabs>
        <w:ind w:left="2880" w:hanging="360"/>
      </w:pPr>
      <w:rPr>
        <w:rFonts w:ascii="Times" w:hAnsi="Times" w:hint="default"/>
      </w:rPr>
    </w:lvl>
    <w:lvl w:ilvl="4" w:tplc="32CC2EBA" w:tentative="1">
      <w:start w:val="1"/>
      <w:numFmt w:val="bullet"/>
      <w:lvlText w:val="•"/>
      <w:lvlJc w:val="left"/>
      <w:pPr>
        <w:tabs>
          <w:tab w:val="num" w:pos="3600"/>
        </w:tabs>
        <w:ind w:left="3600" w:hanging="360"/>
      </w:pPr>
      <w:rPr>
        <w:rFonts w:ascii="Times" w:hAnsi="Times" w:hint="default"/>
      </w:rPr>
    </w:lvl>
    <w:lvl w:ilvl="5" w:tplc="0B623106" w:tentative="1">
      <w:start w:val="1"/>
      <w:numFmt w:val="bullet"/>
      <w:lvlText w:val="•"/>
      <w:lvlJc w:val="left"/>
      <w:pPr>
        <w:tabs>
          <w:tab w:val="num" w:pos="4320"/>
        </w:tabs>
        <w:ind w:left="4320" w:hanging="360"/>
      </w:pPr>
      <w:rPr>
        <w:rFonts w:ascii="Times" w:hAnsi="Times" w:hint="default"/>
      </w:rPr>
    </w:lvl>
    <w:lvl w:ilvl="6" w:tplc="2EA4C6F8" w:tentative="1">
      <w:start w:val="1"/>
      <w:numFmt w:val="bullet"/>
      <w:lvlText w:val="•"/>
      <w:lvlJc w:val="left"/>
      <w:pPr>
        <w:tabs>
          <w:tab w:val="num" w:pos="5040"/>
        </w:tabs>
        <w:ind w:left="5040" w:hanging="360"/>
      </w:pPr>
      <w:rPr>
        <w:rFonts w:ascii="Times" w:hAnsi="Times" w:hint="default"/>
      </w:rPr>
    </w:lvl>
    <w:lvl w:ilvl="7" w:tplc="9124A9F4" w:tentative="1">
      <w:start w:val="1"/>
      <w:numFmt w:val="bullet"/>
      <w:lvlText w:val="•"/>
      <w:lvlJc w:val="left"/>
      <w:pPr>
        <w:tabs>
          <w:tab w:val="num" w:pos="5760"/>
        </w:tabs>
        <w:ind w:left="5760" w:hanging="360"/>
      </w:pPr>
      <w:rPr>
        <w:rFonts w:ascii="Times" w:hAnsi="Times" w:hint="default"/>
      </w:rPr>
    </w:lvl>
    <w:lvl w:ilvl="8" w:tplc="94087E5A"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45C61240"/>
    <w:multiLevelType w:val="hybridMultilevel"/>
    <w:tmpl w:val="C5EA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50AE1"/>
    <w:multiLevelType w:val="hybridMultilevel"/>
    <w:tmpl w:val="2CA62C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A2176C7"/>
    <w:multiLevelType w:val="hybridMultilevel"/>
    <w:tmpl w:val="1F348C1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2" w15:restartNumberingAfterBreak="0">
    <w:nsid w:val="5ACD3250"/>
    <w:multiLevelType w:val="hybridMultilevel"/>
    <w:tmpl w:val="ABDC8368"/>
    <w:lvl w:ilvl="0" w:tplc="04090001">
      <w:start w:val="1"/>
      <w:numFmt w:val="bullet"/>
      <w:lvlText w:val=""/>
      <w:lvlJc w:val="left"/>
      <w:pPr>
        <w:ind w:left="2636" w:hanging="360"/>
      </w:pPr>
      <w:rPr>
        <w:rFonts w:ascii="Symbol" w:hAnsi="Symbol" w:hint="default"/>
      </w:rPr>
    </w:lvl>
    <w:lvl w:ilvl="1" w:tplc="04090003" w:tentative="1">
      <w:start w:val="1"/>
      <w:numFmt w:val="bullet"/>
      <w:lvlText w:val="o"/>
      <w:lvlJc w:val="left"/>
      <w:pPr>
        <w:ind w:left="3356" w:hanging="360"/>
      </w:pPr>
      <w:rPr>
        <w:rFonts w:ascii="Courier New" w:hAnsi="Courier New" w:hint="default"/>
      </w:rPr>
    </w:lvl>
    <w:lvl w:ilvl="2" w:tplc="04090005" w:tentative="1">
      <w:start w:val="1"/>
      <w:numFmt w:val="bullet"/>
      <w:lvlText w:val=""/>
      <w:lvlJc w:val="left"/>
      <w:pPr>
        <w:ind w:left="4076" w:hanging="360"/>
      </w:pPr>
      <w:rPr>
        <w:rFonts w:ascii="Wingdings" w:hAnsi="Wingdings" w:hint="default"/>
      </w:rPr>
    </w:lvl>
    <w:lvl w:ilvl="3" w:tplc="04090001" w:tentative="1">
      <w:start w:val="1"/>
      <w:numFmt w:val="bullet"/>
      <w:lvlText w:val=""/>
      <w:lvlJc w:val="left"/>
      <w:pPr>
        <w:ind w:left="4796" w:hanging="360"/>
      </w:pPr>
      <w:rPr>
        <w:rFonts w:ascii="Symbol" w:hAnsi="Symbol" w:hint="default"/>
      </w:rPr>
    </w:lvl>
    <w:lvl w:ilvl="4" w:tplc="04090003" w:tentative="1">
      <w:start w:val="1"/>
      <w:numFmt w:val="bullet"/>
      <w:lvlText w:val="o"/>
      <w:lvlJc w:val="left"/>
      <w:pPr>
        <w:ind w:left="5516" w:hanging="360"/>
      </w:pPr>
      <w:rPr>
        <w:rFonts w:ascii="Courier New" w:hAnsi="Courier New" w:hint="default"/>
      </w:rPr>
    </w:lvl>
    <w:lvl w:ilvl="5" w:tplc="04090005" w:tentative="1">
      <w:start w:val="1"/>
      <w:numFmt w:val="bullet"/>
      <w:lvlText w:val=""/>
      <w:lvlJc w:val="left"/>
      <w:pPr>
        <w:ind w:left="6236" w:hanging="360"/>
      </w:pPr>
      <w:rPr>
        <w:rFonts w:ascii="Wingdings" w:hAnsi="Wingdings" w:hint="default"/>
      </w:rPr>
    </w:lvl>
    <w:lvl w:ilvl="6" w:tplc="04090001" w:tentative="1">
      <w:start w:val="1"/>
      <w:numFmt w:val="bullet"/>
      <w:lvlText w:val=""/>
      <w:lvlJc w:val="left"/>
      <w:pPr>
        <w:ind w:left="6956" w:hanging="360"/>
      </w:pPr>
      <w:rPr>
        <w:rFonts w:ascii="Symbol" w:hAnsi="Symbol" w:hint="default"/>
      </w:rPr>
    </w:lvl>
    <w:lvl w:ilvl="7" w:tplc="04090003" w:tentative="1">
      <w:start w:val="1"/>
      <w:numFmt w:val="bullet"/>
      <w:lvlText w:val="o"/>
      <w:lvlJc w:val="left"/>
      <w:pPr>
        <w:ind w:left="7676" w:hanging="360"/>
      </w:pPr>
      <w:rPr>
        <w:rFonts w:ascii="Courier New" w:hAnsi="Courier New" w:hint="default"/>
      </w:rPr>
    </w:lvl>
    <w:lvl w:ilvl="8" w:tplc="04090005" w:tentative="1">
      <w:start w:val="1"/>
      <w:numFmt w:val="bullet"/>
      <w:lvlText w:val=""/>
      <w:lvlJc w:val="left"/>
      <w:pPr>
        <w:ind w:left="8396" w:hanging="360"/>
      </w:pPr>
      <w:rPr>
        <w:rFonts w:ascii="Wingdings" w:hAnsi="Wingdings" w:hint="default"/>
      </w:rPr>
    </w:lvl>
  </w:abstractNum>
  <w:abstractNum w:abstractNumId="33" w15:restartNumberingAfterBreak="0">
    <w:nsid w:val="5F091A80"/>
    <w:multiLevelType w:val="multilevel"/>
    <w:tmpl w:val="6D1E7A08"/>
    <w:lvl w:ilvl="0">
      <w:start w:val="1"/>
      <w:numFmt w:val="decimal"/>
      <w:lvlText w:val="%1."/>
      <w:lvlJc w:val="left"/>
      <w:pPr>
        <w:ind w:left="360" w:hanging="360"/>
      </w:p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2ED7B9F"/>
    <w:multiLevelType w:val="hybridMultilevel"/>
    <w:tmpl w:val="A24E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37C7E"/>
    <w:multiLevelType w:val="hybridMultilevel"/>
    <w:tmpl w:val="7EFC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5405B"/>
    <w:multiLevelType w:val="hybridMultilevel"/>
    <w:tmpl w:val="06BEFE14"/>
    <w:lvl w:ilvl="0" w:tplc="16C03A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1450DF"/>
    <w:multiLevelType w:val="hybridMultilevel"/>
    <w:tmpl w:val="7570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83D3C"/>
    <w:multiLevelType w:val="hybridMultilevel"/>
    <w:tmpl w:val="C6982B7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9" w15:restartNumberingAfterBreak="0">
    <w:nsid w:val="67656421"/>
    <w:multiLevelType w:val="hybridMultilevel"/>
    <w:tmpl w:val="4A5AE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1A6470"/>
    <w:multiLevelType w:val="hybridMultilevel"/>
    <w:tmpl w:val="D2B0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14969"/>
    <w:multiLevelType w:val="hybridMultilevel"/>
    <w:tmpl w:val="FD568882"/>
    <w:lvl w:ilvl="0" w:tplc="04090001">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42" w15:restartNumberingAfterBreak="0">
    <w:nsid w:val="72591233"/>
    <w:multiLevelType w:val="hybridMultilevel"/>
    <w:tmpl w:val="B78C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52F20"/>
    <w:multiLevelType w:val="hybridMultilevel"/>
    <w:tmpl w:val="5B36A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79356E"/>
    <w:multiLevelType w:val="multilevel"/>
    <w:tmpl w:val="DB6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2517CF"/>
    <w:multiLevelType w:val="hybridMultilevel"/>
    <w:tmpl w:val="17127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DD175C"/>
    <w:multiLevelType w:val="hybridMultilevel"/>
    <w:tmpl w:val="F1D28E92"/>
    <w:lvl w:ilvl="0" w:tplc="DA88400C">
      <w:start w:val="1"/>
      <w:numFmt w:val="decimal"/>
      <w:lvlText w:val="%1)"/>
      <w:lvlJc w:val="left"/>
      <w:pPr>
        <w:ind w:left="1440" w:hanging="360"/>
      </w:pPr>
      <w:rPr>
        <w:rFonts w:asciiTheme="majorHAnsi" w:eastAsia="MS Mincho" w:hAnsiTheme="majorHAnsi" w:cs="Times New Roman"/>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7E6C4360"/>
    <w:multiLevelType w:val="hybridMultilevel"/>
    <w:tmpl w:val="1724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92CA0"/>
    <w:multiLevelType w:val="hybridMultilevel"/>
    <w:tmpl w:val="05722BEE"/>
    <w:lvl w:ilvl="0" w:tplc="58368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E544D1"/>
    <w:multiLevelType w:val="hybridMultilevel"/>
    <w:tmpl w:val="3B86CF22"/>
    <w:lvl w:ilvl="0" w:tplc="E6EA4C6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3779558">
    <w:abstractNumId w:val="27"/>
  </w:num>
  <w:num w:numId="2" w16cid:durableId="1616214165">
    <w:abstractNumId w:val="21"/>
  </w:num>
  <w:num w:numId="3" w16cid:durableId="753017740">
    <w:abstractNumId w:val="33"/>
  </w:num>
  <w:num w:numId="4" w16cid:durableId="1936018433">
    <w:abstractNumId w:val="14"/>
  </w:num>
  <w:num w:numId="5" w16cid:durableId="694770481">
    <w:abstractNumId w:val="46"/>
  </w:num>
  <w:num w:numId="6" w16cid:durableId="1084718611">
    <w:abstractNumId w:val="45"/>
  </w:num>
  <w:num w:numId="7" w16cid:durableId="227889550">
    <w:abstractNumId w:val="36"/>
  </w:num>
  <w:num w:numId="8" w16cid:durableId="334265675">
    <w:abstractNumId w:val="48"/>
  </w:num>
  <w:num w:numId="9" w16cid:durableId="2136439874">
    <w:abstractNumId w:val="1"/>
  </w:num>
  <w:num w:numId="10" w16cid:durableId="1511332656">
    <w:abstractNumId w:val="49"/>
  </w:num>
  <w:num w:numId="11" w16cid:durableId="681198830">
    <w:abstractNumId w:val="37"/>
  </w:num>
  <w:num w:numId="12" w16cid:durableId="1763139310">
    <w:abstractNumId w:val="35"/>
  </w:num>
  <w:num w:numId="13" w16cid:durableId="1646542249">
    <w:abstractNumId w:val="5"/>
  </w:num>
  <w:num w:numId="14" w16cid:durableId="199171390">
    <w:abstractNumId w:val="12"/>
  </w:num>
  <w:num w:numId="15" w16cid:durableId="1441995776">
    <w:abstractNumId w:val="47"/>
  </w:num>
  <w:num w:numId="16" w16cid:durableId="1643806228">
    <w:abstractNumId w:val="43"/>
  </w:num>
  <w:num w:numId="17" w16cid:durableId="807674029">
    <w:abstractNumId w:val="40"/>
  </w:num>
  <w:num w:numId="18" w16cid:durableId="959067656">
    <w:abstractNumId w:val="8"/>
  </w:num>
  <w:num w:numId="19" w16cid:durableId="765734410">
    <w:abstractNumId w:val="31"/>
  </w:num>
  <w:num w:numId="20" w16cid:durableId="1283418762">
    <w:abstractNumId w:val="41"/>
  </w:num>
  <w:num w:numId="21" w16cid:durableId="508643967">
    <w:abstractNumId w:val="32"/>
  </w:num>
  <w:num w:numId="22" w16cid:durableId="686097448">
    <w:abstractNumId w:val="34"/>
  </w:num>
  <w:num w:numId="23" w16cid:durableId="1228028253">
    <w:abstractNumId w:val="22"/>
  </w:num>
  <w:num w:numId="24" w16cid:durableId="1384982671">
    <w:abstractNumId w:val="4"/>
  </w:num>
  <w:num w:numId="25" w16cid:durableId="1563100075">
    <w:abstractNumId w:val="15"/>
  </w:num>
  <w:num w:numId="26" w16cid:durableId="1597716085">
    <w:abstractNumId w:val="28"/>
  </w:num>
  <w:num w:numId="27" w16cid:durableId="1271742337">
    <w:abstractNumId w:val="6"/>
  </w:num>
  <w:num w:numId="28" w16cid:durableId="55323644">
    <w:abstractNumId w:val="23"/>
  </w:num>
  <w:num w:numId="29" w16cid:durableId="615721716">
    <w:abstractNumId w:val="25"/>
  </w:num>
  <w:num w:numId="30" w16cid:durableId="620302642">
    <w:abstractNumId w:val="7"/>
  </w:num>
  <w:num w:numId="31" w16cid:durableId="1184633859">
    <w:abstractNumId w:val="38"/>
  </w:num>
  <w:num w:numId="32" w16cid:durableId="2013486842">
    <w:abstractNumId w:val="29"/>
  </w:num>
  <w:num w:numId="33" w16cid:durableId="496501605">
    <w:abstractNumId w:val="13"/>
  </w:num>
  <w:num w:numId="34" w16cid:durableId="1717124565">
    <w:abstractNumId w:val="30"/>
  </w:num>
  <w:num w:numId="35" w16cid:durableId="2039772686">
    <w:abstractNumId w:val="24"/>
  </w:num>
  <w:num w:numId="36" w16cid:durableId="1083065852">
    <w:abstractNumId w:val="10"/>
  </w:num>
  <w:num w:numId="37" w16cid:durableId="38240018">
    <w:abstractNumId w:val="42"/>
  </w:num>
  <w:num w:numId="38" w16cid:durableId="34476156">
    <w:abstractNumId w:val="19"/>
  </w:num>
  <w:num w:numId="39" w16cid:durableId="605573805">
    <w:abstractNumId w:val="39"/>
  </w:num>
  <w:num w:numId="40" w16cid:durableId="1588030996">
    <w:abstractNumId w:val="16"/>
  </w:num>
  <w:num w:numId="41" w16cid:durableId="405880080">
    <w:abstractNumId w:val="3"/>
  </w:num>
  <w:num w:numId="42" w16cid:durableId="694158367">
    <w:abstractNumId w:val="2"/>
  </w:num>
  <w:num w:numId="43" w16cid:durableId="135029680">
    <w:abstractNumId w:val="20"/>
  </w:num>
  <w:num w:numId="44" w16cid:durableId="1221749676">
    <w:abstractNumId w:val="0"/>
  </w:num>
  <w:num w:numId="45" w16cid:durableId="1473526336">
    <w:abstractNumId w:val="44"/>
  </w:num>
  <w:num w:numId="46" w16cid:durableId="1489442506">
    <w:abstractNumId w:val="18"/>
  </w:num>
  <w:num w:numId="47" w16cid:durableId="1338457209">
    <w:abstractNumId w:val="26"/>
  </w:num>
  <w:num w:numId="48" w16cid:durableId="1321344829">
    <w:abstractNumId w:val="11"/>
  </w:num>
  <w:num w:numId="49" w16cid:durableId="1811433644">
    <w:abstractNumId w:val="9"/>
  </w:num>
  <w:num w:numId="50" w16cid:durableId="12417166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CF"/>
    <w:rsid w:val="00052569"/>
    <w:rsid w:val="000568FD"/>
    <w:rsid w:val="000942A9"/>
    <w:rsid w:val="000A7458"/>
    <w:rsid w:val="00114621"/>
    <w:rsid w:val="0015276A"/>
    <w:rsid w:val="00175BDB"/>
    <w:rsid w:val="001826F3"/>
    <w:rsid w:val="002B4456"/>
    <w:rsid w:val="002D0DB8"/>
    <w:rsid w:val="002E42D3"/>
    <w:rsid w:val="00364C48"/>
    <w:rsid w:val="00364EB0"/>
    <w:rsid w:val="00370912"/>
    <w:rsid w:val="00380BEB"/>
    <w:rsid w:val="00396A34"/>
    <w:rsid w:val="003D41BF"/>
    <w:rsid w:val="0042705A"/>
    <w:rsid w:val="004A2A69"/>
    <w:rsid w:val="004F2ACD"/>
    <w:rsid w:val="005363EB"/>
    <w:rsid w:val="00556100"/>
    <w:rsid w:val="005D1982"/>
    <w:rsid w:val="0061124F"/>
    <w:rsid w:val="0062655A"/>
    <w:rsid w:val="006505F4"/>
    <w:rsid w:val="006B2BAF"/>
    <w:rsid w:val="006C6561"/>
    <w:rsid w:val="006F3258"/>
    <w:rsid w:val="00785D3F"/>
    <w:rsid w:val="00797086"/>
    <w:rsid w:val="007A64AE"/>
    <w:rsid w:val="007C04EE"/>
    <w:rsid w:val="007E430B"/>
    <w:rsid w:val="00806FE3"/>
    <w:rsid w:val="00873690"/>
    <w:rsid w:val="008D116D"/>
    <w:rsid w:val="008E7E5A"/>
    <w:rsid w:val="00912582"/>
    <w:rsid w:val="00952E46"/>
    <w:rsid w:val="009C0ACF"/>
    <w:rsid w:val="00A07A94"/>
    <w:rsid w:val="00A27830"/>
    <w:rsid w:val="00A34AF0"/>
    <w:rsid w:val="00A612F8"/>
    <w:rsid w:val="00B75C19"/>
    <w:rsid w:val="00B915A7"/>
    <w:rsid w:val="00C84EDA"/>
    <w:rsid w:val="00CB421A"/>
    <w:rsid w:val="00D94DFE"/>
    <w:rsid w:val="00DB40D8"/>
    <w:rsid w:val="00E81BA8"/>
    <w:rsid w:val="00EB2D37"/>
    <w:rsid w:val="00ED0D0C"/>
    <w:rsid w:val="00F409C7"/>
    <w:rsid w:val="00F43E80"/>
    <w:rsid w:val="00F47EA8"/>
    <w:rsid w:val="00F61BD8"/>
    <w:rsid w:val="00FD48A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2031"/>
  <w15:chartTrackingRefBased/>
  <w15:docId w15:val="{47E5C938-E0A3-C94D-8C15-162B44A5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CF"/>
    <w:rPr>
      <w:lang w:val="en-GB"/>
    </w:rPr>
  </w:style>
  <w:style w:type="paragraph" w:styleId="Heading1">
    <w:name w:val="heading 1"/>
    <w:basedOn w:val="Normal"/>
    <w:next w:val="Normal"/>
    <w:link w:val="Heading1Char"/>
    <w:uiPriority w:val="9"/>
    <w:qFormat/>
    <w:rsid w:val="009C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A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A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A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A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C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C0AC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C0AC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C0AC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C0AC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C0AC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C0AC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C0AC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C0AC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C0A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AC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C0A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AC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C0A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0ACF"/>
    <w:rPr>
      <w:i/>
      <w:iCs/>
      <w:color w:val="404040" w:themeColor="text1" w:themeTint="BF"/>
      <w:lang w:val="en-GB"/>
    </w:rPr>
  </w:style>
  <w:style w:type="paragraph" w:styleId="ListParagraph">
    <w:name w:val="List Paragraph"/>
    <w:basedOn w:val="Normal"/>
    <w:uiPriority w:val="34"/>
    <w:qFormat/>
    <w:rsid w:val="009C0ACF"/>
    <w:pPr>
      <w:ind w:left="720"/>
      <w:contextualSpacing/>
    </w:pPr>
  </w:style>
  <w:style w:type="character" w:styleId="IntenseEmphasis">
    <w:name w:val="Intense Emphasis"/>
    <w:basedOn w:val="DefaultParagraphFont"/>
    <w:uiPriority w:val="21"/>
    <w:qFormat/>
    <w:rsid w:val="009C0ACF"/>
    <w:rPr>
      <w:i/>
      <w:iCs/>
      <w:color w:val="0F4761" w:themeColor="accent1" w:themeShade="BF"/>
    </w:rPr>
  </w:style>
  <w:style w:type="paragraph" w:styleId="IntenseQuote">
    <w:name w:val="Intense Quote"/>
    <w:basedOn w:val="Normal"/>
    <w:next w:val="Normal"/>
    <w:link w:val="IntenseQuoteChar"/>
    <w:uiPriority w:val="30"/>
    <w:qFormat/>
    <w:rsid w:val="009C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ACF"/>
    <w:rPr>
      <w:i/>
      <w:iCs/>
      <w:color w:val="0F4761" w:themeColor="accent1" w:themeShade="BF"/>
      <w:lang w:val="en-GB"/>
    </w:rPr>
  </w:style>
  <w:style w:type="character" w:styleId="IntenseReference">
    <w:name w:val="Intense Reference"/>
    <w:basedOn w:val="DefaultParagraphFont"/>
    <w:uiPriority w:val="32"/>
    <w:qFormat/>
    <w:rsid w:val="009C0ACF"/>
    <w:rPr>
      <w:b/>
      <w:bCs/>
      <w:smallCaps/>
      <w:color w:val="0F4761" w:themeColor="accent1" w:themeShade="BF"/>
      <w:spacing w:val="5"/>
    </w:rPr>
  </w:style>
  <w:style w:type="paragraph" w:styleId="FootnoteText">
    <w:name w:val="footnote text"/>
    <w:basedOn w:val="Normal"/>
    <w:link w:val="FootnoteTextChar"/>
    <w:unhideWhenUsed/>
    <w:rsid w:val="009C0ACF"/>
    <w:rPr>
      <w:sz w:val="20"/>
      <w:szCs w:val="20"/>
    </w:rPr>
  </w:style>
  <w:style w:type="character" w:customStyle="1" w:styleId="FootnoteTextChar">
    <w:name w:val="Footnote Text Char"/>
    <w:basedOn w:val="DefaultParagraphFont"/>
    <w:link w:val="FootnoteText"/>
    <w:rsid w:val="009C0ACF"/>
    <w:rPr>
      <w:sz w:val="20"/>
      <w:szCs w:val="20"/>
      <w:lang w:val="en-GB"/>
    </w:rPr>
  </w:style>
  <w:style w:type="character" w:styleId="FootnoteReference">
    <w:name w:val="footnote reference"/>
    <w:basedOn w:val="DefaultParagraphFont"/>
    <w:uiPriority w:val="99"/>
    <w:unhideWhenUsed/>
    <w:rsid w:val="009C0ACF"/>
    <w:rPr>
      <w:vertAlign w:val="superscript"/>
    </w:rPr>
  </w:style>
  <w:style w:type="paragraph" w:styleId="Footer">
    <w:name w:val="footer"/>
    <w:basedOn w:val="Normal"/>
    <w:link w:val="FooterChar"/>
    <w:uiPriority w:val="99"/>
    <w:unhideWhenUsed/>
    <w:rsid w:val="009C0ACF"/>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9C0ACF"/>
    <w:rPr>
      <w:rFonts w:ascii="Cambria" w:eastAsia="MS Mincho" w:hAnsi="Cambria" w:cs="Times New Roman"/>
      <w:lang w:val="en-GB"/>
    </w:rPr>
  </w:style>
  <w:style w:type="character" w:styleId="PageNumber">
    <w:name w:val="page number"/>
    <w:basedOn w:val="DefaultParagraphFont"/>
    <w:uiPriority w:val="99"/>
    <w:semiHidden/>
    <w:unhideWhenUsed/>
    <w:rsid w:val="009C0ACF"/>
  </w:style>
  <w:style w:type="paragraph" w:styleId="BalloonText">
    <w:name w:val="Balloon Text"/>
    <w:basedOn w:val="Normal"/>
    <w:link w:val="BalloonTextChar"/>
    <w:uiPriority w:val="99"/>
    <w:semiHidden/>
    <w:unhideWhenUsed/>
    <w:rsid w:val="009C0ACF"/>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9C0ACF"/>
    <w:rPr>
      <w:rFonts w:ascii="Segoe UI" w:eastAsia="MS Mincho" w:hAnsi="Segoe UI" w:cs="Segoe UI"/>
      <w:sz w:val="18"/>
      <w:szCs w:val="18"/>
      <w:lang w:val="en-GB"/>
    </w:rPr>
  </w:style>
  <w:style w:type="paragraph" w:styleId="TOC1">
    <w:name w:val="toc 1"/>
    <w:basedOn w:val="Normal"/>
    <w:next w:val="Normal"/>
    <w:autoRedefine/>
    <w:uiPriority w:val="39"/>
    <w:unhideWhenUsed/>
    <w:rsid w:val="009C0ACF"/>
    <w:pPr>
      <w:spacing w:before="120"/>
    </w:pPr>
    <w:rPr>
      <w:rFonts w:eastAsia="MS Mincho" w:cs="Times New Roman"/>
      <w:b/>
      <w:caps/>
      <w:sz w:val="22"/>
      <w:szCs w:val="22"/>
    </w:rPr>
  </w:style>
  <w:style w:type="paragraph" w:styleId="TOC2">
    <w:name w:val="toc 2"/>
    <w:basedOn w:val="Normal"/>
    <w:next w:val="Normal"/>
    <w:autoRedefine/>
    <w:uiPriority w:val="39"/>
    <w:unhideWhenUsed/>
    <w:rsid w:val="009C0ACF"/>
    <w:pPr>
      <w:ind w:left="240"/>
    </w:pPr>
    <w:rPr>
      <w:rFonts w:eastAsia="MS Mincho" w:cs="Times New Roman"/>
      <w:smallCaps/>
      <w:sz w:val="22"/>
      <w:szCs w:val="22"/>
    </w:rPr>
  </w:style>
  <w:style w:type="paragraph" w:styleId="TOC3">
    <w:name w:val="toc 3"/>
    <w:basedOn w:val="Normal"/>
    <w:next w:val="Normal"/>
    <w:autoRedefine/>
    <w:uiPriority w:val="39"/>
    <w:unhideWhenUsed/>
    <w:rsid w:val="009C0ACF"/>
    <w:pPr>
      <w:ind w:left="480"/>
    </w:pPr>
    <w:rPr>
      <w:rFonts w:eastAsia="MS Mincho" w:cs="Times New Roman"/>
      <w:i/>
      <w:sz w:val="22"/>
      <w:szCs w:val="22"/>
    </w:rPr>
  </w:style>
  <w:style w:type="paragraph" w:styleId="TOC4">
    <w:name w:val="toc 4"/>
    <w:basedOn w:val="Normal"/>
    <w:next w:val="Normal"/>
    <w:autoRedefine/>
    <w:uiPriority w:val="39"/>
    <w:unhideWhenUsed/>
    <w:rsid w:val="009C0ACF"/>
    <w:pPr>
      <w:ind w:left="720"/>
    </w:pPr>
    <w:rPr>
      <w:rFonts w:eastAsia="MS Mincho" w:cs="Times New Roman"/>
      <w:sz w:val="18"/>
      <w:szCs w:val="18"/>
    </w:rPr>
  </w:style>
  <w:style w:type="paragraph" w:styleId="TOC5">
    <w:name w:val="toc 5"/>
    <w:basedOn w:val="Normal"/>
    <w:next w:val="Normal"/>
    <w:autoRedefine/>
    <w:uiPriority w:val="39"/>
    <w:unhideWhenUsed/>
    <w:rsid w:val="009C0ACF"/>
    <w:pPr>
      <w:ind w:left="960"/>
    </w:pPr>
    <w:rPr>
      <w:rFonts w:eastAsia="MS Mincho" w:cs="Times New Roman"/>
      <w:sz w:val="18"/>
      <w:szCs w:val="18"/>
    </w:rPr>
  </w:style>
  <w:style w:type="paragraph" w:styleId="TOC6">
    <w:name w:val="toc 6"/>
    <w:basedOn w:val="Normal"/>
    <w:next w:val="Normal"/>
    <w:autoRedefine/>
    <w:uiPriority w:val="39"/>
    <w:unhideWhenUsed/>
    <w:rsid w:val="009C0ACF"/>
    <w:pPr>
      <w:ind w:left="1200"/>
    </w:pPr>
    <w:rPr>
      <w:rFonts w:eastAsia="MS Mincho" w:cs="Times New Roman"/>
      <w:sz w:val="18"/>
      <w:szCs w:val="18"/>
    </w:rPr>
  </w:style>
  <w:style w:type="paragraph" w:styleId="TOC7">
    <w:name w:val="toc 7"/>
    <w:basedOn w:val="Normal"/>
    <w:next w:val="Normal"/>
    <w:autoRedefine/>
    <w:uiPriority w:val="39"/>
    <w:unhideWhenUsed/>
    <w:rsid w:val="009C0ACF"/>
    <w:pPr>
      <w:ind w:left="1440"/>
    </w:pPr>
    <w:rPr>
      <w:rFonts w:eastAsia="MS Mincho" w:cs="Times New Roman"/>
      <w:sz w:val="18"/>
      <w:szCs w:val="18"/>
    </w:rPr>
  </w:style>
  <w:style w:type="paragraph" w:styleId="TOC8">
    <w:name w:val="toc 8"/>
    <w:basedOn w:val="Normal"/>
    <w:next w:val="Normal"/>
    <w:autoRedefine/>
    <w:uiPriority w:val="39"/>
    <w:unhideWhenUsed/>
    <w:rsid w:val="009C0ACF"/>
    <w:pPr>
      <w:ind w:left="1680"/>
    </w:pPr>
    <w:rPr>
      <w:rFonts w:eastAsia="MS Mincho" w:cs="Times New Roman"/>
      <w:sz w:val="18"/>
      <w:szCs w:val="18"/>
    </w:rPr>
  </w:style>
  <w:style w:type="paragraph" w:styleId="TOC9">
    <w:name w:val="toc 9"/>
    <w:basedOn w:val="Normal"/>
    <w:next w:val="Normal"/>
    <w:autoRedefine/>
    <w:uiPriority w:val="39"/>
    <w:unhideWhenUsed/>
    <w:rsid w:val="009C0ACF"/>
    <w:pPr>
      <w:ind w:left="1920"/>
    </w:pPr>
    <w:rPr>
      <w:rFonts w:eastAsia="MS Mincho" w:cs="Times New Roman"/>
      <w:sz w:val="18"/>
      <w:szCs w:val="18"/>
    </w:rPr>
  </w:style>
  <w:style w:type="character" w:styleId="Hyperlink">
    <w:name w:val="Hyperlink"/>
    <w:basedOn w:val="DefaultParagraphFont"/>
    <w:uiPriority w:val="99"/>
    <w:unhideWhenUsed/>
    <w:rsid w:val="009C0ACF"/>
    <w:rPr>
      <w:color w:val="467886" w:themeColor="hyperlink"/>
      <w:u w:val="single"/>
    </w:rPr>
  </w:style>
  <w:style w:type="character" w:styleId="FollowedHyperlink">
    <w:name w:val="FollowedHyperlink"/>
    <w:basedOn w:val="DefaultParagraphFont"/>
    <w:uiPriority w:val="99"/>
    <w:semiHidden/>
    <w:unhideWhenUsed/>
    <w:rsid w:val="009C0ACF"/>
    <w:rPr>
      <w:color w:val="96607D" w:themeColor="followedHyperlink"/>
      <w:u w:val="single"/>
    </w:rPr>
  </w:style>
  <w:style w:type="paragraph" w:styleId="TOCHeading">
    <w:name w:val="TOC Heading"/>
    <w:basedOn w:val="Heading1"/>
    <w:next w:val="Normal"/>
    <w:uiPriority w:val="39"/>
    <w:unhideWhenUsed/>
    <w:qFormat/>
    <w:rsid w:val="009C0ACF"/>
    <w:pPr>
      <w:spacing w:before="480" w:after="0" w:line="276" w:lineRule="auto"/>
      <w:outlineLvl w:val="9"/>
    </w:pPr>
    <w:rPr>
      <w:b/>
      <w:bCs/>
      <w:sz w:val="28"/>
      <w:szCs w:val="28"/>
      <w:lang w:val="en-US"/>
    </w:rPr>
  </w:style>
  <w:style w:type="paragraph" w:styleId="Caption">
    <w:name w:val="caption"/>
    <w:basedOn w:val="Normal"/>
    <w:next w:val="Normal"/>
    <w:uiPriority w:val="35"/>
    <w:unhideWhenUsed/>
    <w:qFormat/>
    <w:rsid w:val="009C0ACF"/>
    <w:pPr>
      <w:spacing w:after="200"/>
    </w:pPr>
    <w:rPr>
      <w:rFonts w:eastAsiaTheme="minorEastAsia"/>
      <w:b/>
      <w:bCs/>
      <w:color w:val="156082" w:themeColor="accent1"/>
      <w:sz w:val="18"/>
      <w:szCs w:val="18"/>
    </w:rPr>
  </w:style>
  <w:style w:type="table" w:styleId="TableGrid">
    <w:name w:val="Table Grid"/>
    <w:basedOn w:val="TableNormal"/>
    <w:uiPriority w:val="59"/>
    <w:rsid w:val="009C0AC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0ACF"/>
    <w:rPr>
      <w:rFonts w:eastAsiaTheme="minorEastAsia"/>
      <w:lang w:val="en-GB"/>
    </w:rPr>
  </w:style>
  <w:style w:type="character" w:customStyle="1" w:styleId="BalloonTextChar1">
    <w:name w:val="Balloon Text Char1"/>
    <w:basedOn w:val="DefaultParagraphFont"/>
    <w:uiPriority w:val="99"/>
    <w:semiHidden/>
    <w:rsid w:val="009C0ACF"/>
    <w:rPr>
      <w:rFonts w:ascii="Lucida Grande" w:eastAsia="MS Mincho" w:hAnsi="Lucida Grande" w:cs="Times New Roman"/>
      <w:sz w:val="18"/>
      <w:szCs w:val="18"/>
      <w:lang w:val="en-GB"/>
    </w:rPr>
  </w:style>
  <w:style w:type="paragraph" w:customStyle="1" w:styleId="Style1">
    <w:name w:val="Style1"/>
    <w:basedOn w:val="FootnoteText"/>
    <w:link w:val="Style1Char"/>
    <w:qFormat/>
    <w:rsid w:val="009C0ACF"/>
    <w:pPr>
      <w:spacing w:line="360" w:lineRule="auto"/>
      <w:jc w:val="both"/>
    </w:pPr>
    <w:rPr>
      <w:rFonts w:ascii="Cambria" w:eastAsia="MS Mincho" w:hAnsi="Cambria" w:cs="Times New Roman"/>
      <w:i/>
    </w:rPr>
  </w:style>
  <w:style w:type="character" w:customStyle="1" w:styleId="Style1Char">
    <w:name w:val="Style1 Char"/>
    <w:basedOn w:val="FootnoteTextChar"/>
    <w:link w:val="Style1"/>
    <w:rsid w:val="009C0ACF"/>
    <w:rPr>
      <w:rFonts w:ascii="Cambria" w:eastAsia="MS Mincho" w:hAnsi="Cambria" w:cs="Times New Roman"/>
      <w:i/>
      <w:sz w:val="20"/>
      <w:szCs w:val="20"/>
      <w:lang w:val="en-GB"/>
    </w:rPr>
  </w:style>
  <w:style w:type="paragraph" w:styleId="Header">
    <w:name w:val="header"/>
    <w:basedOn w:val="Normal"/>
    <w:link w:val="HeaderChar"/>
    <w:uiPriority w:val="99"/>
    <w:unhideWhenUsed/>
    <w:qFormat/>
    <w:rsid w:val="009C0ACF"/>
    <w:pPr>
      <w:tabs>
        <w:tab w:val="center" w:pos="4513"/>
        <w:tab w:val="right" w:pos="9026"/>
      </w:tabs>
    </w:pPr>
  </w:style>
  <w:style w:type="character" w:customStyle="1" w:styleId="HeaderChar">
    <w:name w:val="Header Char"/>
    <w:basedOn w:val="DefaultParagraphFont"/>
    <w:link w:val="Header"/>
    <w:uiPriority w:val="99"/>
    <w:qFormat/>
    <w:rsid w:val="009C0ACF"/>
    <w:rPr>
      <w:lang w:val="en-GB"/>
    </w:rPr>
  </w:style>
  <w:style w:type="paragraph" w:styleId="NormalWeb">
    <w:name w:val="Normal (Web)"/>
    <w:basedOn w:val="Normal"/>
    <w:uiPriority w:val="99"/>
    <w:unhideWhenUsed/>
    <w:rsid w:val="009C0ACF"/>
    <w:pPr>
      <w:spacing w:before="100" w:beforeAutospacing="1" w:after="100" w:afterAutospacing="1"/>
    </w:pPr>
    <w:rPr>
      <w:rFonts w:ascii="Times New Roman" w:eastAsia="Times New Roman" w:hAnsi="Times New Roman" w:cs="Times New Roman"/>
      <w:lang w:val="en-ZA" w:eastAsia="en-GB"/>
    </w:rPr>
  </w:style>
  <w:style w:type="paragraph" w:styleId="Revision">
    <w:name w:val="Revision"/>
    <w:hidden/>
    <w:uiPriority w:val="99"/>
    <w:semiHidden/>
    <w:rsid w:val="009C0ACF"/>
    <w:rPr>
      <w:lang w:val="en-GB"/>
    </w:rPr>
  </w:style>
  <w:style w:type="character" w:styleId="CommentReference">
    <w:name w:val="annotation reference"/>
    <w:basedOn w:val="DefaultParagraphFont"/>
    <w:uiPriority w:val="99"/>
    <w:semiHidden/>
    <w:unhideWhenUsed/>
    <w:rsid w:val="009C0ACF"/>
    <w:rPr>
      <w:sz w:val="16"/>
      <w:szCs w:val="16"/>
    </w:rPr>
  </w:style>
  <w:style w:type="paragraph" w:styleId="CommentText">
    <w:name w:val="annotation text"/>
    <w:basedOn w:val="Normal"/>
    <w:link w:val="CommentTextChar"/>
    <w:uiPriority w:val="99"/>
    <w:unhideWhenUsed/>
    <w:rsid w:val="009C0ACF"/>
    <w:rPr>
      <w:sz w:val="20"/>
      <w:szCs w:val="20"/>
    </w:rPr>
  </w:style>
  <w:style w:type="character" w:customStyle="1" w:styleId="CommentTextChar">
    <w:name w:val="Comment Text Char"/>
    <w:basedOn w:val="DefaultParagraphFont"/>
    <w:link w:val="CommentText"/>
    <w:uiPriority w:val="99"/>
    <w:rsid w:val="009C0ACF"/>
    <w:rPr>
      <w:sz w:val="20"/>
      <w:szCs w:val="20"/>
      <w:lang w:val="en-GB"/>
    </w:rPr>
  </w:style>
  <w:style w:type="paragraph" w:styleId="CommentSubject">
    <w:name w:val="annotation subject"/>
    <w:basedOn w:val="CommentText"/>
    <w:next w:val="CommentText"/>
    <w:link w:val="CommentSubjectChar"/>
    <w:uiPriority w:val="99"/>
    <w:semiHidden/>
    <w:unhideWhenUsed/>
    <w:rsid w:val="009C0ACF"/>
    <w:rPr>
      <w:b/>
      <w:bCs/>
    </w:rPr>
  </w:style>
  <w:style w:type="character" w:customStyle="1" w:styleId="CommentSubjectChar">
    <w:name w:val="Comment Subject Char"/>
    <w:basedOn w:val="CommentTextChar"/>
    <w:link w:val="CommentSubject"/>
    <w:uiPriority w:val="99"/>
    <w:semiHidden/>
    <w:rsid w:val="009C0ACF"/>
    <w:rPr>
      <w:b/>
      <w:bCs/>
      <w:sz w:val="20"/>
      <w:szCs w:val="20"/>
      <w:lang w:val="en-GB"/>
    </w:rPr>
  </w:style>
  <w:style w:type="paragraph" w:styleId="BodyText">
    <w:name w:val="Body Text"/>
    <w:basedOn w:val="Normal"/>
    <w:link w:val="BodyTextChar"/>
    <w:uiPriority w:val="1"/>
    <w:qFormat/>
    <w:rsid w:val="00F43E80"/>
    <w:pPr>
      <w:widowControl w:val="0"/>
      <w:autoSpaceDE w:val="0"/>
      <w:autoSpaceDN w:val="0"/>
      <w:ind w:left="36"/>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F43E8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8572</Words>
  <Characters>48867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Zamani Saul</dc:creator>
  <cp:keywords/>
  <dc:description/>
  <cp:lastModifiedBy>Epub Solutions</cp:lastModifiedBy>
  <cp:revision>2</cp:revision>
  <cp:lastPrinted>2026-05-21T11:30:00Z</cp:lastPrinted>
  <dcterms:created xsi:type="dcterms:W3CDTF">2026-05-21T11:30:00Z</dcterms:created>
  <dcterms:modified xsi:type="dcterms:W3CDTF">2026-05-21T11:30:00Z</dcterms:modified>
</cp:coreProperties>
</file>